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start"/>
        <w:tblInd w:w="-11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03"/>
        <w:gridCol w:w="1786"/>
        <w:gridCol w:w="1382"/>
        <w:gridCol w:w="1809"/>
        <w:gridCol w:w="2183"/>
        <w:gridCol w:w="1345"/>
      </w:tblGrid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Proposal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Location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Counter Party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Quantity (MHW)</w:t>
            </w:r>
          </w:p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&amp; Price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i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Term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Offer Date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7FA Baseload Units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Bakersfield, CA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CDWR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$58.80/MWH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 years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Sept. 2003-Sept.2013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Feb. 6, 2001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 LM-6000 Baseload Units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Las Vegas, NV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CDWR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 Years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Sept. 2002 – Sept. 2012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Feb. 6, 2001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Power Blocks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Peak and Off-peak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and Southern California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CDWR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25-200 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$81-255/MWH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From 1 to 10 Years 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Feb. 6, 2001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Power Block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California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CDWR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(Offer taken)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200 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($265/MWH)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 month w/option to increase for 5 years @ $127/MWH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Feb.22, 2001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LM-6000 Peaking Unit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Lodi, CA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ISO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45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3 Years</w:t>
            </w:r>
          </w:p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July 1, 2001 – Oct. 31, 2003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Oct. 9, 2000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LM-6000 Peaking Unit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Pleasanton, CA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ISO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45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3 Years</w:t>
            </w:r>
          </w:p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June 1, 2001 – Oct. 31, 2003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Oct. 9, 2000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LM-6000 Peaking Unit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Long Beach, CA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ISO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45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3 Years</w:t>
            </w:r>
          </w:p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June 1, 2002 – Oct. 31, 2004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red"/>
              </w:rPr>
            </w:pPr>
            <w:r>
              <w:rPr>
                <w:sz w:val="20"/>
                <w:highlight w:val="red"/>
              </w:rPr>
              <w:t>Oct. 9, 2000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4 FT-4 Peaking Units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Greater SF Bay Area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ISO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96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3 Years</w:t>
            </w:r>
          </w:p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June 1, 2001 – Oct. 31, 2003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Oct. 9, 2000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4 LM-6000 Baseload Units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Las Vegas, NV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CDWR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225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2 Years</w:t>
            </w:r>
          </w:p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June 1, 2002 – Oct. 31, 2003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Oct. 9, 2000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Firm Power Supply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Palo Verde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CDWR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225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3 Years</w:t>
            </w:r>
          </w:p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June 1, 2001- Oct. 31, 2003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Oct. 9, 2000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Peak Power Supply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California (PG&amp;E)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PG&amp;E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(Offer taken)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$58.70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 years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2001-2005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Summer and Fall 200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Peak Power Supply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California (PG&amp;E)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PG&amp;E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(Offer taken)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 MWH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$58.40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 years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2001-2005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Summer and Fall 200</w:t>
            </w:r>
          </w:p>
        </w:tc>
      </w:tr>
      <w:tr>
        <w:trPr/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Peak Power Supply</w:t>
            </w:r>
          </w:p>
        </w:tc>
        <w:tc>
          <w:tcPr>
            <w:tcW w:w="17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Southern California (Edison)</w:t>
            </w:r>
          </w:p>
        </w:tc>
        <w:tc>
          <w:tcPr>
            <w:tcW w:w="13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Edison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(Offer taken)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 MWH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$60.00 (??)</w:t>
            </w:r>
          </w:p>
        </w:tc>
        <w:tc>
          <w:tcPr>
            <w:tcW w:w="2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 years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2001-2005</w:t>
            </w:r>
          </w:p>
        </w:tc>
        <w:tc>
          <w:tcPr>
            <w:tcW w:w="1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Summer and Fall 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bdr w:val="single" w:sz="4" w:space="0" w:color="000000"/>
          <w:shd w:fill="FFFF00" w:val="clear"/>
        </w:rPr>
        <w:tab/>
      </w:r>
      <w:r>
        <w:rPr>
          <w:sz w:val="20"/>
        </w:rPr>
        <w:tab/>
        <w:t>=</w:t>
        <w:tab/>
        <w:t>Project dropped strictly due to price caps in California</w:t>
      </w:r>
    </w:p>
    <w:p>
      <w:pPr>
        <w:pStyle w:val="Normal"/>
        <w:rPr/>
      </w:pPr>
      <w:r>
        <w:rPr>
          <w:sz w:val="20"/>
          <w:bdr w:val="single" w:sz="4" w:space="0" w:color="000000"/>
          <w:shd w:fill="FF0000" w:val="clear"/>
        </w:rPr>
        <w:tab/>
      </w:r>
      <w:r>
        <w:rPr>
          <w:sz w:val="20"/>
        </w:rPr>
        <w:tab/>
        <w:t>=</w:t>
        <w:tab/>
        <w:t>Project dropped due to ISO delays, reg. &amp; political uncertainty and price caps</w:t>
      </w:r>
    </w:p>
    <w:p>
      <w:pPr>
        <w:pStyle w:val="Normal"/>
        <w:rPr/>
      </w:pPr>
      <w:r>
        <w:rPr>
          <w:sz w:val="20"/>
          <w:bdr w:val="single" w:sz="4" w:space="0" w:color="000000"/>
          <w:shd w:fill="00FF00" w:val="clear"/>
        </w:rPr>
        <w:tab/>
      </w:r>
      <w:r>
        <w:rPr>
          <w:sz w:val="20"/>
        </w:rPr>
        <w:tab/>
        <w:t>=</w:t>
        <w:tab/>
        <w:t>Project dropped because ISO determined project did not conform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i/>
      <w:i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2001-03-16T16:42:00Z</dcterms:created>
  <dc:creator>jdasovic</dc:creator>
  <dc:description/>
  <dc:language>en-CA</dc:language>
  <cp:lastModifiedBy>jdasovic</cp:lastModifiedBy>
  <cp:lastPrinted>2001-03-19T19:37:00Z</cp:lastPrinted>
  <dcterms:modified xsi:type="dcterms:W3CDTF">2001-03-19T23:40:00Z</dcterms:modified>
  <cp:revision>14</cp:revision>
  <dc:subject/>
  <dc:title>Proposal</dc:title>
</cp:coreProperties>
</file>