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Summary of Contract Terms</w:t>
      </w:r>
    </w:p>
    <w:p>
      <w:pPr>
        <w:pStyle w:val="Normal"/>
        <w:jc w:val="center"/>
        <w:rPr/>
      </w:pPr>
      <w:r>
        <w:rPr/>
        <w:t>4 LM-6000 PC Combustion Gas Turbines</w:t>
      </w:r>
    </w:p>
    <w:p>
      <w:pPr>
        <w:pStyle w:val="Normal"/>
        <w:jc w:val="center"/>
        <w:rPr/>
      </w:pPr>
      <w:r>
        <w:rPr/>
        <w:t>Las Vegas Cogeneration II, L.L.C. Project</w:t>
      </w:r>
    </w:p>
    <w:p>
      <w:pPr>
        <w:pStyle w:val="Normal"/>
        <w:jc w:val="center"/>
        <w:rPr/>
      </w:pPr>
      <w:r>
        <w:rPr/>
      </w:r>
    </w:p>
    <w:p>
      <w:pPr>
        <w:pStyle w:val="Normal"/>
        <w:jc w:val="center"/>
        <w:rPr/>
      </w:pPr>
      <w:r>
        <w:rPr/>
      </w:r>
    </w:p>
    <w:p>
      <w:pPr>
        <w:pStyle w:val="Normal"/>
        <w:rPr/>
      </w:pPr>
      <w:r>
        <w:rPr/>
      </w:r>
    </w:p>
    <w:p>
      <w:pPr>
        <w:pStyle w:val="Normal"/>
        <w:rPr/>
      </w:pPr>
      <w:r>
        <w:rPr/>
        <w:t>Delivery Point:</w:t>
        <w:tab/>
        <w:tab/>
        <w:tab/>
        <w:t>16415 Jacinto Port Blvd., Houston Texas</w:t>
      </w:r>
    </w:p>
    <w:p>
      <w:pPr>
        <w:pStyle w:val="Normal"/>
        <w:rPr/>
      </w:pPr>
      <w:r>
        <w:rPr/>
      </w:r>
    </w:p>
    <w:p>
      <w:pPr>
        <w:pStyle w:val="Normal"/>
        <w:rPr/>
      </w:pPr>
      <w:r>
        <w:rPr/>
        <w:t>Optional Delivery Point:</w:t>
        <w:tab/>
        <w:tab/>
        <w:t xml:space="preserve">Site laydown area (at option of purchaser), by change order to contract.  </w:t>
      </w:r>
    </w:p>
    <w:p>
      <w:pPr>
        <w:pStyle w:val="Normal"/>
        <w:rPr/>
      </w:pPr>
      <w:r>
        <w:rPr/>
      </w:r>
    </w:p>
    <w:p>
      <w:pPr>
        <w:pStyle w:val="Normal"/>
        <w:rPr/>
      </w:pPr>
      <w:r>
        <w:rPr/>
        <w:t>Delivery Date(s):</w:t>
        <w:tab/>
        <w:tab/>
        <w:tab/>
        <w:t>[To come]</w:t>
      </w:r>
    </w:p>
    <w:p>
      <w:pPr>
        <w:pStyle w:val="Normal"/>
        <w:rPr/>
      </w:pPr>
      <w:r>
        <w:rPr/>
      </w:r>
    </w:p>
    <w:p>
      <w:pPr>
        <w:pStyle w:val="Normal"/>
        <w:rPr/>
      </w:pPr>
      <w:r>
        <w:rPr/>
        <w:t>Payment terms:</w:t>
        <w:tab/>
        <w:tab/>
        <w:tab/>
        <w:t>[To come]</w:t>
      </w:r>
    </w:p>
    <w:p>
      <w:pPr>
        <w:pStyle w:val="Normal"/>
        <w:rPr/>
      </w:pPr>
      <w:r>
        <w:rPr/>
      </w:r>
    </w:p>
    <w:p>
      <w:pPr>
        <w:pStyle w:val="BodyText2"/>
        <w:rPr/>
      </w:pPr>
      <w:r>
        <w:rPr/>
        <w:t>Retention Letter of Credit:</w:t>
        <w:tab/>
        <w:t>5% of purchase price, to be held by purchaser until expiry of last 5% of purchase amount.  GE may replace with letter of credit in like amount.</w:t>
      </w:r>
    </w:p>
    <w:p>
      <w:pPr>
        <w:pStyle w:val="Normal"/>
        <w:ind w:hanging="2880" w:start="2880" w:end="0"/>
        <w:rPr/>
      </w:pPr>
      <w:r>
        <w:rPr/>
      </w:r>
    </w:p>
    <w:p>
      <w:pPr>
        <w:pStyle w:val="Normal"/>
        <w:ind w:hanging="2880" w:start="2880" w:end="0"/>
        <w:rPr/>
      </w:pPr>
      <w:r>
        <w:rPr/>
        <w:t>Correction of Equipment:</w:t>
        <w:tab/>
        <w:t>GE is responsible for replacing or correcting any defective work or conditions prior to acceptance of the Unit.  GE must also correct punchlist items to Purchaser’s satisfaction within f180 days after Takeover, or Purchaser may draw on Retention Letter of credit.</w:t>
      </w:r>
    </w:p>
    <w:p>
      <w:pPr>
        <w:pStyle w:val="Normal"/>
        <w:ind w:hanging="2880" w:start="2880" w:end="0"/>
        <w:rPr/>
      </w:pPr>
      <w:r>
        <w:rPr/>
      </w:r>
    </w:p>
    <w:p>
      <w:pPr>
        <w:pStyle w:val="Normal"/>
        <w:rPr/>
      </w:pPr>
      <w:r>
        <w:rPr/>
        <w:t xml:space="preserve">Document Liquidated </w:t>
      </w:r>
    </w:p>
    <w:p>
      <w:pPr>
        <w:pStyle w:val="Normal"/>
        <w:ind w:hanging="2880" w:start="2880" w:end="0"/>
        <w:rPr/>
      </w:pPr>
      <w:r>
        <w:rPr/>
        <w:t>Damages</w:t>
        <w:tab/>
        <w:t>1-30 days late</w:t>
        <w:tab/>
        <w:t>$600.00/day</w:t>
      </w:r>
    </w:p>
    <w:p>
      <w:pPr>
        <w:pStyle w:val="Normal"/>
        <w:ind w:hanging="2880" w:start="2880" w:end="0"/>
        <w:rPr/>
      </w:pPr>
      <w:r>
        <w:rPr/>
        <w:tab/>
        <w:t>31-90 days late</w:t>
        <w:tab/>
        <w:t>$1,000.00/day</w:t>
      </w:r>
    </w:p>
    <w:p>
      <w:pPr>
        <w:pStyle w:val="Normal"/>
        <w:ind w:hanging="2880" w:start="2880" w:end="0"/>
        <w:rPr/>
      </w:pPr>
      <w:r>
        <w:rPr/>
        <w:tab/>
        <w:t>91+ days late</w:t>
        <w:tab/>
        <w:t>$2,000.00/day</w:t>
      </w:r>
    </w:p>
    <w:p>
      <w:pPr>
        <w:pStyle w:val="Normal"/>
        <w:ind w:hanging="2880" w:start="2880" w:end="0"/>
        <w:rPr/>
      </w:pPr>
      <w:r>
        <w:rPr/>
      </w:r>
    </w:p>
    <w:p>
      <w:pPr>
        <w:pStyle w:val="Normal"/>
        <w:ind w:hanging="2880" w:start="2880" w:end="0"/>
        <w:rPr/>
      </w:pPr>
      <w:r>
        <w:rPr/>
        <w:t>Delivery of Final</w:t>
      </w:r>
    </w:p>
    <w:p>
      <w:pPr>
        <w:pStyle w:val="Normal"/>
        <w:ind w:hanging="2880" w:start="2880" w:end="0"/>
        <w:rPr/>
      </w:pPr>
      <w:r>
        <w:rPr/>
        <w:t xml:space="preserve">O&amp;M Instructions </w:t>
      </w:r>
    </w:p>
    <w:p>
      <w:pPr>
        <w:pStyle w:val="Normal"/>
        <w:ind w:hanging="2880" w:start="2880" w:end="0"/>
        <w:rPr/>
      </w:pPr>
      <w:r>
        <w:rPr/>
        <w:t>Liquidated Damages</w:t>
        <w:tab/>
        <w:t>$500.00/day if not delivered within 45 days after site delivery date of the first Unit.</w:t>
      </w:r>
    </w:p>
    <w:p>
      <w:pPr>
        <w:pStyle w:val="Normal"/>
        <w:ind w:hanging="2880" w:start="2880" w:end="0"/>
        <w:rPr/>
      </w:pPr>
      <w:r>
        <w:rPr/>
      </w:r>
    </w:p>
    <w:p>
      <w:pPr>
        <w:pStyle w:val="Normal"/>
        <w:ind w:hanging="2880" w:start="2880" w:end="0"/>
        <w:rPr/>
      </w:pPr>
      <w:r>
        <w:rPr/>
        <w:t>Unit Delay Liquidated Damages</w:t>
        <w:tab/>
        <w:t>1-15 days late</w:t>
        <w:tab/>
        <w:t>$10,000.00/day/Unit</w:t>
      </w:r>
    </w:p>
    <w:p>
      <w:pPr>
        <w:pStyle w:val="Normal"/>
        <w:ind w:hanging="2880" w:start="2880" w:end="0"/>
        <w:rPr/>
      </w:pPr>
      <w:r>
        <w:rPr/>
        <w:tab/>
        <w:t>16+ days late</w:t>
        <w:tab/>
        <w:t>$25,000.00/day/Unit</w:t>
      </w:r>
    </w:p>
    <w:p>
      <w:pPr>
        <w:pStyle w:val="Normal"/>
        <w:ind w:hanging="2880" w:start="2880" w:end="0"/>
        <w:rPr/>
      </w:pPr>
      <w:r>
        <w:rPr/>
      </w:r>
    </w:p>
    <w:p>
      <w:pPr>
        <w:pStyle w:val="Normal"/>
        <w:ind w:hanging="2880" w:start="2880" w:end="0"/>
        <w:rPr/>
      </w:pPr>
      <w:r>
        <w:rPr/>
        <w:t>Takeover Liquidated Damages</w:t>
        <w:tab/>
        <w:t>$25,000 per day per Unit for each date that the Unit fails to meet Take Over Criteria by the end of Time for Completion.</w:t>
      </w:r>
    </w:p>
    <w:p>
      <w:pPr>
        <w:pStyle w:val="Normal"/>
        <w:ind w:hanging="2880" w:start="2880" w:end="0"/>
        <w:rPr/>
      </w:pPr>
      <w:r>
        <w:rPr/>
      </w:r>
    </w:p>
    <w:p>
      <w:pPr>
        <w:pStyle w:val="Normal"/>
        <w:ind w:hanging="2880" w:start="2880" w:end="0"/>
        <w:rPr/>
      </w:pPr>
      <w:r>
        <w:rPr/>
        <w:t xml:space="preserve">Exhaust Gas </w:t>
      </w:r>
    </w:p>
    <w:p>
      <w:pPr>
        <w:pStyle w:val="Normal"/>
        <w:ind w:hanging="2880" w:start="2880" w:end="0"/>
        <w:rPr/>
      </w:pPr>
      <w:r>
        <w:rPr/>
        <w:t>Temperature Guarantee</w:t>
      </w:r>
    </w:p>
    <w:p>
      <w:pPr>
        <w:pStyle w:val="Normal"/>
        <w:ind w:hanging="2880" w:start="2880" w:end="0"/>
        <w:rPr/>
      </w:pPr>
      <w:r>
        <w:rPr/>
        <w:t>(Combined Cycle)</w:t>
        <w:tab/>
        <w:t>Adjusted Exhaust Gas Temperature not less than 803 degrees Fahrenheit.</w:t>
      </w:r>
    </w:p>
    <w:p>
      <w:pPr>
        <w:pStyle w:val="Normal"/>
        <w:ind w:hanging="2880" w:start="2880" w:end="0"/>
        <w:rPr/>
      </w:pPr>
      <w:r>
        <w:rPr/>
      </w:r>
    </w:p>
    <w:p>
      <w:pPr>
        <w:pStyle w:val="Normal"/>
        <w:ind w:hanging="2880" w:start="2880" w:end="0"/>
        <w:rPr/>
      </w:pPr>
      <w:r>
        <w:rPr/>
        <w:t xml:space="preserve">Exhaust Gas Energy </w:t>
      </w:r>
    </w:p>
    <w:p>
      <w:pPr>
        <w:pStyle w:val="Normal"/>
        <w:ind w:hanging="2880" w:start="2880" w:end="0"/>
        <w:rPr/>
      </w:pPr>
      <w:r>
        <w:rPr/>
        <w:t>Guaranty (Combined Cycle)</w:t>
        <w:tab/>
        <w:t xml:space="preserve">Adjusted Exhaust Gas Energy </w:t>
      </w:r>
      <w:r>
        <w:rPr>
          <w:u w:val="single"/>
        </w:rPr>
        <w:t>&gt;</w:t>
      </w:r>
      <w:r>
        <w:rPr/>
        <w:t xml:space="preserve"> 58,154 BTU/sec. At 50 degrees F reference.</w:t>
      </w:r>
    </w:p>
    <w:p>
      <w:pPr>
        <w:pStyle w:val="Normal"/>
        <w:ind w:hanging="2880" w:start="2880" w:end="0"/>
        <w:rPr/>
      </w:pPr>
      <w:r>
        <w:rPr/>
      </w:r>
    </w:p>
    <w:p>
      <w:pPr>
        <w:pStyle w:val="Normal"/>
        <w:keepNext w:val="true"/>
        <w:ind w:hanging="2880" w:start="2880" w:end="0"/>
        <w:rPr/>
      </w:pPr>
      <w:r>
        <w:rPr/>
        <w:t>Specific Peformance</w:t>
      </w:r>
    </w:p>
    <w:p>
      <w:pPr>
        <w:pStyle w:val="Normal"/>
        <w:keepNext w:val="true"/>
        <w:ind w:hanging="2880" w:start="2880" w:end="0"/>
        <w:rPr/>
      </w:pPr>
      <w:r>
        <w:rPr/>
        <w:t>Near Source Sound Level</w:t>
      </w:r>
    </w:p>
    <w:p>
      <w:pPr>
        <w:pStyle w:val="Normal"/>
        <w:keepNext w:val="true"/>
        <w:ind w:hanging="2880" w:start="2880" w:end="0"/>
        <w:rPr/>
      </w:pPr>
      <w:r>
        <w:rPr/>
        <w:t>Guaranty</w:t>
        <w:tab/>
        <w:t xml:space="preserve">Near field average A-weighted sound pressure levels for each Unit </w:t>
      </w:r>
      <w:r>
        <w:rPr>
          <w:u w:val="single"/>
        </w:rPr>
        <w:t>&lt;</w:t>
      </w:r>
      <w:r>
        <w:rPr/>
        <w:t xml:space="preserve"> 85dB(A) (referenced to 20 micropascals) when measured at 1.5 meters above any working elevation and 1 meter from the surface.</w:t>
      </w:r>
    </w:p>
    <w:p>
      <w:pPr>
        <w:pStyle w:val="Normal"/>
        <w:ind w:hanging="2880" w:start="2880" w:end="0"/>
        <w:rPr/>
      </w:pPr>
      <w:r>
        <w:rPr/>
      </w:r>
    </w:p>
    <w:p>
      <w:pPr>
        <w:pStyle w:val="Normal"/>
        <w:ind w:hanging="2880" w:start="2880" w:end="0"/>
        <w:rPr/>
      </w:pPr>
      <w:r>
        <w:rPr/>
        <w:t>Specific Performance Far Field</w:t>
      </w:r>
    </w:p>
    <w:p>
      <w:pPr>
        <w:pStyle w:val="Normal"/>
        <w:ind w:hanging="2880" w:start="2880" w:end="0"/>
        <w:rPr/>
      </w:pPr>
      <w:r>
        <w:rPr/>
        <w:t>Sound Level Guaranty</w:t>
        <w:tab/>
        <w:t xml:space="preserve">Far field average A-weighted sound pressure levels as installed with GE provided auxiliary equipment for each Unit (referenced to 20 micropascals) </w:t>
      </w:r>
      <w:r>
        <w:rPr>
          <w:u w:val="single"/>
        </w:rPr>
        <w:t>&lt;</w:t>
      </w:r>
      <w:r>
        <w:rPr/>
        <w:t xml:space="preserve"> 65dB(A) for gas fueled and water injected Unit at 400 feet while operating at steady state loads from 50 to 100 percent..</w:t>
      </w:r>
    </w:p>
    <w:p>
      <w:pPr>
        <w:pStyle w:val="Normal"/>
        <w:ind w:hanging="2880" w:start="2880" w:end="0"/>
        <w:rPr/>
      </w:pPr>
      <w:r>
        <w:rPr/>
      </w:r>
    </w:p>
    <w:p>
      <w:pPr>
        <w:pStyle w:val="Normal"/>
        <w:rPr/>
      </w:pPr>
      <w:r>
        <w:rPr/>
        <w:t xml:space="preserve">Specific Performance </w:t>
      </w:r>
    </w:p>
    <w:p>
      <w:pPr>
        <w:pStyle w:val="Normal"/>
        <w:rPr/>
      </w:pPr>
      <w:r>
        <w:rPr/>
        <w:t>Exhaust Emissions Guaranty</w:t>
        <w:tab/>
      </w:r>
      <w:r>
        <w:rPr>
          <w:u w:val="single"/>
        </w:rPr>
        <w:t>Category</w:t>
      </w:r>
      <w:r>
        <w:rPr/>
        <w:tab/>
      </w:r>
      <w:r>
        <w:rPr>
          <w:u w:val="single"/>
        </w:rPr>
        <w:t>Value</w:t>
      </w:r>
      <w:r>
        <w:rPr/>
        <w:tab/>
        <w:tab/>
      </w:r>
      <w:r>
        <w:rPr>
          <w:u w:val="single"/>
        </w:rPr>
        <w:t>Units of Measure</w:t>
      </w:r>
    </w:p>
    <w:p>
      <w:pPr>
        <w:pStyle w:val="Normal"/>
        <w:rPr/>
      </w:pPr>
      <w:r>
        <w:rPr/>
        <w:tab/>
      </w:r>
    </w:p>
    <w:p>
      <w:pPr>
        <w:pStyle w:val="Normal"/>
        <w:rPr/>
      </w:pPr>
      <w:r>
        <w:rPr/>
        <w:tab/>
        <w:tab/>
        <w:tab/>
        <w:tab/>
        <w:t>NOx</w:t>
        <w:tab/>
        <w:tab/>
        <w:t>25</w:t>
        <w:tab/>
        <w:tab/>
        <w:t>ppmvd @ 15% O2</w:t>
      </w:r>
    </w:p>
    <w:p>
      <w:pPr>
        <w:pStyle w:val="Normal"/>
        <w:rPr/>
      </w:pPr>
      <w:r>
        <w:rPr/>
        <w:tab/>
        <w:tab/>
        <w:tab/>
        <w:tab/>
        <w:t xml:space="preserve"> CO</w:t>
        <w:tab/>
        <w:tab/>
        <w:t>47</w:t>
        <w:tab/>
        <w:tab/>
        <w:t>ppmvd @ 15% O2</w:t>
      </w:r>
    </w:p>
    <w:p>
      <w:pPr>
        <w:pStyle w:val="Normal"/>
        <w:ind w:firstLine="720" w:start="5040" w:end="0"/>
        <w:rPr/>
      </w:pPr>
      <w:r>
        <w:rPr/>
        <w:t xml:space="preserve">avg./Unit @ 4 Units; </w:t>
      </w:r>
    </w:p>
    <w:p>
      <w:pPr>
        <w:pStyle w:val="Normal"/>
        <w:ind w:firstLine="720" w:start="5040" w:end="0"/>
        <w:rPr/>
      </w:pPr>
      <w:r>
        <w:rPr/>
        <w:t xml:space="preserve">with absolute CO emission </w:t>
      </w:r>
    </w:p>
    <w:p>
      <w:pPr>
        <w:pStyle w:val="Normal"/>
        <w:ind w:firstLine="720" w:start="5040" w:end="0"/>
        <w:rPr/>
      </w:pPr>
      <w:r>
        <w:rPr/>
        <w:t>limit from any individual Unit</w:t>
      </w:r>
    </w:p>
    <w:p>
      <w:pPr>
        <w:pStyle w:val="Normal"/>
        <w:ind w:firstLine="720" w:start="5040" w:end="0"/>
        <w:rPr/>
      </w:pPr>
      <w:r>
        <w:rPr/>
        <w:t xml:space="preserve">not to exceed 56 ppmvd @15% </w:t>
      </w:r>
    </w:p>
    <w:p>
      <w:pPr>
        <w:pStyle w:val="Normal"/>
        <w:ind w:firstLine="720" w:start="5040" w:end="0"/>
        <w:rPr/>
      </w:pPr>
      <w:r>
        <w:rPr/>
        <w:t>O2 at loads of 60-100% of Base</w:t>
      </w:r>
    </w:p>
    <w:p>
      <w:pPr>
        <w:pStyle w:val="Normal"/>
        <w:ind w:firstLine="720" w:start="5040" w:end="0"/>
        <w:rPr/>
      </w:pPr>
      <w:r>
        <w:rPr/>
        <w:t xml:space="preserve">Load at Basis Conditions </w:t>
      </w:r>
    </w:p>
    <w:p>
      <w:pPr>
        <w:pStyle w:val="Normal"/>
        <w:rPr/>
      </w:pPr>
      <w:r>
        <w:rPr/>
        <w:tab/>
        <w:tab/>
        <w:tab/>
        <w:tab/>
        <w:t>VOCs</w:t>
        <w:tab/>
        <w:tab/>
        <w:t>10</w:t>
        <w:tab/>
        <w:tab/>
        <w:t>ppmvd @ 15% O2</w:t>
      </w:r>
    </w:p>
    <w:p>
      <w:pPr>
        <w:pStyle w:val="Normal"/>
        <w:rPr/>
      </w:pPr>
      <w:r>
        <w:rPr/>
        <w:tab/>
        <w:tab/>
        <w:tab/>
        <w:tab/>
        <w:t>PM10</w:t>
        <w:tab/>
        <w:tab/>
        <w:t>4.5</w:t>
        <w:tab/>
        <w:tab/>
        <w:t>lb/hr (front and back half)</w:t>
      </w:r>
    </w:p>
    <w:p>
      <w:pPr>
        <w:pStyle w:val="Normal"/>
        <w:rPr/>
      </w:pPr>
      <w:r>
        <w:rPr/>
      </w:r>
    </w:p>
    <w:p>
      <w:pPr>
        <w:pStyle w:val="WW-BodyText2"/>
        <w:rPr/>
      </w:pPr>
      <w:r>
        <w:rPr/>
        <w:t xml:space="preserve">NOx and PM10 emission guarantees valid for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t>
      </w:r>
    </w:p>
    <w:p>
      <w:pPr>
        <w:pStyle w:val="Normal"/>
        <w:ind w:start="2880" w:end="0"/>
        <w:rPr/>
      </w:pPr>
      <w:r>
        <w:rPr/>
      </w:r>
    </w:p>
    <w:p>
      <w:pPr>
        <w:pStyle w:val="Normal"/>
        <w:ind w:hanging="2880" w:start="2880" w:end="0"/>
        <w:rPr/>
      </w:pPr>
      <w:r>
        <w:rPr/>
        <w:t>Electrical Output Guaranty</w:t>
        <w:tab/>
        <w:t xml:space="preserve">Adjusted Electrical Output per Unit </w:t>
      </w:r>
      <w:r>
        <w:rPr>
          <w:u w:val="single"/>
        </w:rPr>
        <w:t>&gt;</w:t>
      </w:r>
      <w:r>
        <w:rPr/>
        <w:t xml:space="preserve"> 48,315 kW (net of Unit auxiliary loads).</w:t>
      </w:r>
    </w:p>
    <w:p>
      <w:pPr>
        <w:pStyle w:val="Normal"/>
        <w:rPr/>
      </w:pPr>
      <w:r>
        <w:rPr/>
      </w:r>
    </w:p>
    <w:p>
      <w:pPr>
        <w:pStyle w:val="Normal"/>
        <w:rPr/>
      </w:pPr>
      <w:r>
        <w:rPr/>
        <w:t>Specific Performance Electrical</w:t>
      </w:r>
    </w:p>
    <w:p>
      <w:pPr>
        <w:pStyle w:val="Normal"/>
        <w:ind w:hanging="2880" w:start="2880" w:end="0"/>
        <w:rPr/>
      </w:pPr>
      <w:r>
        <w:rPr/>
        <w:t>Output Guaranty</w:t>
        <w:tab/>
        <w:t xml:space="preserve">Adjusted Electrical Output per Unit </w:t>
      </w:r>
      <w:r>
        <w:rPr>
          <w:u w:val="single"/>
        </w:rPr>
        <w:t>&gt;</w:t>
      </w:r>
      <w:r>
        <w:rPr/>
        <w:t xml:space="preserve"> 46,382 kW (net of Unit auxiliary loads)</w:t>
      </w:r>
    </w:p>
    <w:p>
      <w:pPr>
        <w:pStyle w:val="Normal"/>
        <w:ind w:hanging="2880" w:start="2880" w:end="0"/>
        <w:rPr/>
      </w:pPr>
      <w:r>
        <w:rPr/>
        <w:t>Heat Rate Guaranty</w:t>
        <w:tab/>
        <w:t>Adjusted Heat Rate not to exceed 8,884 BTU/kWh (LHV).</w:t>
      </w:r>
    </w:p>
    <w:p>
      <w:pPr>
        <w:pStyle w:val="Normal"/>
        <w:ind w:hanging="2880" w:start="2880" w:end="0"/>
        <w:rPr/>
      </w:pPr>
      <w:r>
        <w:rPr/>
      </w:r>
    </w:p>
    <w:p>
      <w:pPr>
        <w:pStyle w:val="Normal"/>
        <w:ind w:hanging="2880" w:start="2880" w:end="0"/>
        <w:rPr/>
      </w:pPr>
      <w:r>
        <w:rPr/>
        <w:t>Specific Performance Heat</w:t>
      </w:r>
    </w:p>
    <w:p>
      <w:pPr>
        <w:pStyle w:val="Normal"/>
        <w:ind w:hanging="2880" w:start="2880" w:end="0"/>
        <w:rPr/>
      </w:pPr>
      <w:r>
        <w:rPr/>
        <w:t>Rate Guaranty</w:t>
        <w:tab/>
        <w:t>Adjusted Heat Rate not to exceed 9,303 BTU/kWh (LHV).</w:t>
      </w:r>
    </w:p>
    <w:p>
      <w:pPr>
        <w:pStyle w:val="Normal"/>
        <w:ind w:hanging="2880" w:start="2880" w:end="0"/>
        <w:rPr/>
      </w:pPr>
      <w:r>
        <w:rPr/>
      </w:r>
    </w:p>
    <w:p>
      <w:pPr>
        <w:pStyle w:val="Normal"/>
        <w:ind w:hanging="2880" w:start="2880" w:end="0"/>
        <w:rPr/>
      </w:pPr>
      <w:r>
        <w:rPr/>
        <w:t>Output Liquidated Damages</w:t>
        <w:tab/>
        <w:t>If a Unit achieves the Specific Performance Electrical Output Guaranty during Performance Test, but fails to achieve the Electrical Output Guaranty, $500.00/kW that that Adjusted Electrical Output of the Unit is less than the Electrical Output Guaranty.</w:t>
      </w:r>
    </w:p>
    <w:p>
      <w:pPr>
        <w:pStyle w:val="Normal"/>
        <w:ind w:hanging="2880" w:start="2880" w:end="0"/>
        <w:rPr/>
      </w:pPr>
      <w:r>
        <w:rPr/>
      </w:r>
    </w:p>
    <w:p>
      <w:pPr>
        <w:pStyle w:val="Normal"/>
        <w:ind w:hanging="2880" w:start="2880" w:end="0"/>
        <w:rPr/>
      </w:pPr>
      <w:r>
        <w:rPr/>
        <w:t>Heat Rate Liquidated Damages</w:t>
        <w:tab/>
        <w:t>$3,500 per BTU/kWh (LHV) that the Adjusted Heat Reate of the Unit exceeds the Heat Rate Guaranty.</w:t>
      </w:r>
    </w:p>
    <w:p>
      <w:pPr>
        <w:pStyle w:val="Normal"/>
        <w:ind w:hanging="2880" w:start="2880" w:end="0"/>
        <w:rPr/>
      </w:pPr>
      <w:r>
        <w:rPr/>
      </w:r>
    </w:p>
    <w:p>
      <w:pPr>
        <w:pStyle w:val="Normal"/>
        <w:keepNext w:val="true"/>
        <w:ind w:hanging="2880" w:start="2880" w:end="0"/>
        <w:rPr/>
      </w:pPr>
      <w:r>
        <w:rPr/>
        <w:t>Maximum Document</w:t>
      </w:r>
    </w:p>
    <w:p>
      <w:pPr>
        <w:pStyle w:val="Normal"/>
        <w:keepNext w:val="true"/>
        <w:ind w:hanging="2880" w:start="2880" w:end="0"/>
        <w:rPr/>
      </w:pPr>
      <w:r>
        <w:rPr/>
        <w:t>Liquidated Damages</w:t>
        <w:tab/>
        <w:t>$50,000</w:t>
      </w:r>
    </w:p>
    <w:p>
      <w:pPr>
        <w:pStyle w:val="Normal"/>
        <w:ind w:hanging="2880" w:start="2880" w:end="0"/>
        <w:rPr/>
      </w:pPr>
      <w:r>
        <w:rPr/>
      </w:r>
    </w:p>
    <w:p>
      <w:pPr>
        <w:pStyle w:val="Normal"/>
        <w:ind w:hanging="2880" w:start="2880" w:end="0"/>
        <w:rPr/>
      </w:pPr>
      <w:r>
        <w:rPr/>
        <w:t>Max. Delivery Liquidated</w:t>
      </w:r>
    </w:p>
    <w:p>
      <w:pPr>
        <w:pStyle w:val="Normal"/>
        <w:ind w:hanging="2880" w:start="2880" w:end="0"/>
        <w:rPr/>
      </w:pPr>
      <w:r>
        <w:rPr/>
        <w:t>Damages</w:t>
        <w:tab/>
        <w:t>15% of Purchase Amount</w:t>
      </w:r>
    </w:p>
    <w:p>
      <w:pPr>
        <w:pStyle w:val="Normal"/>
        <w:ind w:hanging="2880" w:start="2880" w:end="0"/>
        <w:rPr/>
      </w:pPr>
      <w:r>
        <w:rPr/>
      </w:r>
    </w:p>
    <w:p>
      <w:pPr>
        <w:pStyle w:val="Normal"/>
        <w:ind w:hanging="2880" w:start="2880" w:end="0"/>
        <w:rPr/>
      </w:pPr>
      <w:r>
        <w:rPr/>
        <w:t>Max. Takeover Liquidated</w:t>
      </w:r>
    </w:p>
    <w:p>
      <w:pPr>
        <w:pStyle w:val="Normal"/>
        <w:ind w:hanging="2880" w:start="2880" w:end="0"/>
        <w:rPr/>
      </w:pPr>
      <w:r>
        <w:rPr/>
        <w:t>Damages</w:t>
        <w:tab/>
        <w:t>15% of Purchase Amount</w:t>
      </w:r>
    </w:p>
    <w:p>
      <w:pPr>
        <w:pStyle w:val="Normal"/>
        <w:ind w:hanging="2880" w:start="2880" w:end="0"/>
        <w:rPr/>
      </w:pPr>
      <w:r>
        <w:rPr/>
      </w:r>
    </w:p>
    <w:p>
      <w:pPr>
        <w:pStyle w:val="Normal"/>
        <w:ind w:hanging="2880" w:start="2880" w:end="0"/>
        <w:rPr/>
      </w:pPr>
      <w:r>
        <w:rPr/>
        <w:t xml:space="preserve">Max. Output Liquidated </w:t>
      </w:r>
    </w:p>
    <w:p>
      <w:pPr>
        <w:pStyle w:val="Normal"/>
        <w:ind w:hanging="2880" w:start="2880" w:end="0"/>
        <w:rPr/>
      </w:pPr>
      <w:r>
        <w:rPr/>
        <w:t>Damages</w:t>
        <w:tab/>
        <w:t>10% of Purchase Amount</w:t>
      </w:r>
    </w:p>
    <w:p>
      <w:pPr>
        <w:pStyle w:val="Normal"/>
        <w:ind w:hanging="2880" w:start="2880" w:end="0"/>
        <w:rPr/>
      </w:pPr>
      <w:r>
        <w:rPr/>
      </w:r>
    </w:p>
    <w:p>
      <w:pPr>
        <w:pStyle w:val="Normal"/>
        <w:ind w:hanging="2880" w:start="2880" w:end="0"/>
        <w:rPr/>
      </w:pPr>
      <w:r>
        <w:rPr/>
        <w:t>Max. Heat Rate Liquidated</w:t>
      </w:r>
    </w:p>
    <w:p>
      <w:pPr>
        <w:pStyle w:val="Normal"/>
        <w:ind w:hanging="2880" w:start="2880" w:end="0"/>
        <w:rPr/>
      </w:pPr>
      <w:r>
        <w:rPr/>
        <w:t>Damages</w:t>
        <w:tab/>
        <w:t>10% of Purchase Amount</w:t>
      </w:r>
    </w:p>
    <w:p>
      <w:pPr>
        <w:pStyle w:val="Normal"/>
        <w:ind w:hanging="2880" w:start="2880" w:end="0"/>
        <w:rPr/>
      </w:pPr>
      <w:r>
        <w:rPr/>
      </w:r>
    </w:p>
    <w:p>
      <w:pPr>
        <w:pStyle w:val="Normal"/>
        <w:ind w:hanging="2880" w:start="2880" w:end="0"/>
        <w:rPr/>
      </w:pPr>
      <w:r>
        <w:rPr/>
        <w:t>Max. Aggregate Liquidated</w:t>
      </w:r>
    </w:p>
    <w:p>
      <w:pPr>
        <w:pStyle w:val="Normal"/>
        <w:ind w:hanging="2880" w:start="2880" w:end="0"/>
        <w:rPr/>
      </w:pPr>
      <w:r>
        <w:rPr/>
        <w:t>Damages</w:t>
        <w:tab/>
        <w:t>30% of Purchase Amount</w:t>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t>See Attached Schedules</w:t>
      </w:r>
    </w:p>
    <w:p>
      <w:pPr>
        <w:pStyle w:val="Normal"/>
        <w:ind w:hanging="2880" w:start="2880" w:end="0"/>
        <w:rPr/>
      </w:pPr>
      <w:r>
        <w:rPr/>
        <w:t>For Additional Information</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2880" w:start="2880" w:end="0"/>
    </w:pPr>
    <w:rPr/>
  </w:style>
  <w:style w:type="paragraph" w:styleId="WW-BodyText2">
    <w:name w:val="WW-Body Text 2"/>
    <w:basedOn w:val="Normal"/>
    <w:qFormat/>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2000-09-26T10:27:00Z</dcterms:created>
  <dc:creator>drasmus</dc:creator>
  <dc:description/>
  <dc:language>en-CA</dc:language>
  <cp:lastModifiedBy>drasmus</cp:lastModifiedBy>
  <cp:lastPrinted>2000-10-11T13:01:00Z</cp:lastPrinted>
  <dcterms:modified xsi:type="dcterms:W3CDTF">2000-10-11T15:31:00Z</dcterms:modified>
  <cp:revision>1</cp:revision>
  <dc:subject/>
  <dc:title>Summary of Contract Terms</dc:title>
</cp:coreProperties>
</file>