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spacing w:lineRule="atLeast" w:line="240"/>
        <w:rPr>
          <w:color w:val="000000"/>
          <w:sz w:val="20"/>
          <w:szCs w:val="20"/>
        </w:rPr>
      </w:pPr>
      <w:r>
        <w:rPr>
          <w:color w:val="000000"/>
          <w:sz w:val="20"/>
          <w:szCs w:val="20"/>
        </w:rPr>
        <w:t>Steve Kean participated at the House subcommittee hearing on Monday.  I participated at the FERC hearing on Tuesday.  Here are the highlights:</w:t>
      </w:r>
    </w:p>
    <w:p>
      <w:pPr>
        <w:pStyle w:val="Normal"/>
        <w:autoSpaceDE w:val="false"/>
        <w:spacing w:lineRule="atLeast" w:line="240"/>
        <w:rPr>
          <w:color w:val="000000"/>
          <w:sz w:val="20"/>
          <w:szCs w:val="20"/>
        </w:rPr>
      </w:pPr>
      <w:r>
        <w:rPr>
          <w:color w:val="000000"/>
          <w:sz w:val="20"/>
          <w:szCs w:val="20"/>
        </w:rPr>
      </w:r>
    </w:p>
    <w:p>
      <w:pPr>
        <w:pStyle w:val="Heading2"/>
        <w:ind w:hanging="0" w:start="0"/>
        <w:rPr>
          <w:rFonts w:ascii="Times New Roman" w:hAnsi="Times New Roman" w:cs="Times New Roman"/>
        </w:rPr>
      </w:pPr>
      <w:r>
        <w:rPr>
          <w:rFonts w:cs="Times New Roman" w:ascii="Times New Roman" w:hAnsi="Times New Roman"/>
        </w:rPr>
        <w:t>The Congessional Hearing</w:t>
      </w:r>
    </w:p>
    <w:p>
      <w:pPr>
        <w:pStyle w:val="Normal"/>
        <w:autoSpaceDE w:val="false"/>
        <w:spacing w:lineRule="atLeast" w:line="240"/>
        <w:rPr/>
      </w:pPr>
      <w:r>
        <w:rPr>
          <w:b/>
          <w:bCs/>
          <w:color w:val="000000"/>
          <w:sz w:val="20"/>
          <w:szCs w:val="20"/>
        </w:rPr>
        <w:t>Congresspersons in attendance</w:t>
      </w:r>
      <w:r>
        <w:rPr>
          <w:color w:val="000000"/>
          <w:sz w:val="20"/>
          <w:szCs w:val="20"/>
        </w:rPr>
        <w:t>:  Barton, Bilbray (Republican from S.D.), Duncan (Republican from S.D., not on the committee), Shadegg (Republican from Arizona), and Filner (Democrat from S.D., not on the committee)</w:t>
      </w:r>
    </w:p>
    <w:p>
      <w:pPr>
        <w:pStyle w:val="BodyTextIndent"/>
        <w:ind w:start="0" w:end="0"/>
        <w:rPr>
          <w:rFonts w:ascii="Times New Roman" w:hAnsi="Times New Roman" w:cs="Times New Roman"/>
          <w:color w:val="000000"/>
          <w:sz w:val="20"/>
          <w:szCs w:val="20"/>
        </w:rPr>
      </w:pPr>
      <w:r>
        <w:rPr>
          <w:rFonts w:cs="Times New Roman" w:ascii="Times New Roman" w:hAnsi="Times New Roman"/>
          <w:color w:val="000000"/>
          <w:sz w:val="20"/>
          <w:szCs w:val="20"/>
        </w:rPr>
      </w:r>
    </w:p>
    <w:p>
      <w:pPr>
        <w:pStyle w:val="BodyTextIndent"/>
        <w:ind w:start="0" w:end="0"/>
        <w:rPr/>
      </w:pPr>
      <w:r>
        <w:rPr>
          <w:rFonts w:cs="Times New Roman" w:ascii="Times New Roman" w:hAnsi="Times New Roman"/>
          <w:b/>
          <w:bCs/>
        </w:rPr>
        <w:t>Context</w:t>
      </w:r>
      <w:r>
        <w:rPr>
          <w:rFonts w:cs="Times New Roman" w:ascii="Times New Roman" w:hAnsi="Times New Roman"/>
        </w:rPr>
        <w:t>:  Two S.D. democrats who voted for AB 1890 are in close political races.  Dede Alpert’s trying to hold on to her state senate seat.  Linda Davis is in a close congressional race with Bilbray.  To improve their chances, Davis and Alpert co-authored the retail price cap bill that the governor recently signed.  That prompted Bilbray to hold a hearing in S.D. on the issue.</w:t>
      </w:r>
    </w:p>
    <w:p>
      <w:pPr>
        <w:pStyle w:val="BodyTextIndent"/>
        <w:ind w:start="0" w:end="0"/>
        <w:rPr>
          <w:rFonts w:ascii="Times New Roman" w:hAnsi="Times New Roman" w:cs="Times New Roman"/>
        </w:rPr>
      </w:pPr>
      <w:r>
        <w:rPr>
          <w:rFonts w:cs="Times New Roman" w:ascii="Times New Roman" w:hAnsi="Times New Roman"/>
        </w:rPr>
      </w:r>
    </w:p>
    <w:p>
      <w:pPr>
        <w:pStyle w:val="Normal"/>
        <w:numPr>
          <w:ilvl w:val="0"/>
          <w:numId w:val="4"/>
        </w:numPr>
        <w:tabs>
          <w:tab w:val="left" w:pos="720" w:leader="none"/>
        </w:tabs>
        <w:autoSpaceDE w:val="false"/>
        <w:spacing w:lineRule="atLeast" w:line="240"/>
        <w:ind w:hanging="360" w:start="720" w:end="0"/>
        <w:rPr>
          <w:color w:val="000000"/>
          <w:sz w:val="20"/>
          <w:szCs w:val="20"/>
        </w:rPr>
      </w:pPr>
      <w:r>
        <w:rPr>
          <w:color w:val="000000"/>
          <w:sz w:val="20"/>
          <w:szCs w:val="20"/>
        </w:rPr>
        <w:t>Bilbray and Barton both opened the hearing by stating that the hearing was not about blame or finger-pointing but about finding solutions.  But by the end of the hearing, Bilbray effectively blamed the problem on "price gouging."</w:t>
      </w:r>
    </w:p>
    <w:p>
      <w:pPr>
        <w:pStyle w:val="Normal"/>
        <w:numPr>
          <w:ilvl w:val="0"/>
          <w:numId w:val="4"/>
        </w:numPr>
        <w:tabs>
          <w:tab w:val="left" w:pos="720" w:leader="none"/>
        </w:tabs>
        <w:autoSpaceDE w:val="false"/>
        <w:spacing w:lineRule="atLeast" w:line="240"/>
        <w:ind w:hanging="360" w:start="720" w:end="0"/>
        <w:rPr>
          <w:color w:val="000000"/>
          <w:sz w:val="20"/>
          <w:szCs w:val="20"/>
        </w:rPr>
      </w:pPr>
      <w:r>
        <w:rPr>
          <w:color w:val="000000"/>
          <w:sz w:val="20"/>
          <w:szCs w:val="20"/>
        </w:rPr>
        <w:t>The head of the S.D. city council started things off by declaring a crisis, describing the plight of businesses and families in S.D., and demanding that FERC take the money back from the generators, refund it to San Diegans, and lower caps for wholesale power throughout the Western states.</w:t>
      </w:r>
    </w:p>
    <w:p>
      <w:pPr>
        <w:pStyle w:val="Normal"/>
        <w:numPr>
          <w:ilvl w:val="0"/>
          <w:numId w:val="4"/>
        </w:numPr>
        <w:tabs>
          <w:tab w:val="left" w:pos="720" w:leader="none"/>
        </w:tabs>
        <w:autoSpaceDE w:val="false"/>
        <w:spacing w:lineRule="atLeast" w:line="240"/>
        <w:ind w:hanging="360" w:start="720" w:end="0"/>
        <w:rPr>
          <w:color w:val="000000"/>
          <w:sz w:val="20"/>
          <w:szCs w:val="20"/>
        </w:rPr>
      </w:pPr>
      <w:r>
        <w:rPr>
          <w:color w:val="000000"/>
          <w:sz w:val="20"/>
          <w:szCs w:val="20"/>
        </w:rPr>
        <w:t>A restaurant owner that Hunter invited then used charts to show what had happened to his bills since the price spikes.</w:t>
      </w:r>
    </w:p>
    <w:p>
      <w:pPr>
        <w:pStyle w:val="Normal"/>
        <w:numPr>
          <w:ilvl w:val="0"/>
          <w:numId w:val="4"/>
        </w:numPr>
        <w:tabs>
          <w:tab w:val="left" w:pos="720" w:leader="none"/>
        </w:tabs>
        <w:autoSpaceDE w:val="false"/>
        <w:spacing w:lineRule="atLeast" w:line="240"/>
        <w:ind w:hanging="360" w:start="720" w:end="0"/>
        <w:rPr>
          <w:color w:val="000000"/>
          <w:sz w:val="20"/>
          <w:szCs w:val="20"/>
        </w:rPr>
      </w:pPr>
      <w:r>
        <w:rPr>
          <w:color w:val="000000"/>
          <w:sz w:val="20"/>
          <w:szCs w:val="20"/>
        </w:rPr>
        <w:t>Astonishingly, when Barton asked him why he hadn’t chosen another provider to protect himself from spot price volatility, he responded, “As far as I understood, I had no choices.”</w:t>
      </w:r>
    </w:p>
    <w:p>
      <w:pPr>
        <w:pStyle w:val="Normal"/>
        <w:numPr>
          <w:ilvl w:val="0"/>
          <w:numId w:val="4"/>
        </w:numPr>
        <w:tabs>
          <w:tab w:val="left" w:pos="720" w:leader="none"/>
        </w:tabs>
        <w:ind w:hanging="360" w:start="720" w:end="0"/>
        <w:rPr>
          <w:sz w:val="20"/>
        </w:rPr>
      </w:pPr>
      <w:r>
        <w:rPr>
          <w:color w:val="000000"/>
          <w:sz w:val="20"/>
          <w:szCs w:val="20"/>
        </w:rPr>
        <w:t>The committee and panelists probed at length California’s flawed market structure and the unique circumstances in California (e.g., no hedging, no retail market, no demand-side response, underscheduling of load, too much reliance on spot markets, bad siting rules, no power plant construction in 10 years, the PX, the uniform price auction).</w:t>
      </w:r>
    </w:p>
    <w:p>
      <w:pPr>
        <w:pStyle w:val="Normal"/>
        <w:numPr>
          <w:ilvl w:val="0"/>
          <w:numId w:val="4"/>
        </w:numPr>
        <w:tabs>
          <w:tab w:val="left" w:pos="720" w:leader="none"/>
        </w:tabs>
        <w:ind w:hanging="360" w:start="720" w:end="0"/>
        <w:rPr>
          <w:sz w:val="20"/>
        </w:rPr>
      </w:pPr>
      <w:r>
        <w:rPr>
          <w:color w:val="000000"/>
          <w:sz w:val="20"/>
          <w:szCs w:val="20"/>
        </w:rPr>
        <w:t>Loretta Lynch (Pres of PUC) and the CEO of SDG&amp;E blamed each other for SDG&amp;E’s failure to hedge.</w:t>
      </w:r>
    </w:p>
    <w:p>
      <w:pPr>
        <w:pStyle w:val="Normal"/>
        <w:numPr>
          <w:ilvl w:val="0"/>
          <w:numId w:val="4"/>
        </w:numPr>
        <w:tabs>
          <w:tab w:val="left" w:pos="720" w:leader="none"/>
        </w:tabs>
        <w:autoSpaceDE w:val="false"/>
        <w:spacing w:lineRule="atLeast" w:line="240"/>
        <w:ind w:hanging="360" w:start="720" w:end="0"/>
        <w:rPr>
          <w:color w:val="000000"/>
          <w:sz w:val="20"/>
          <w:szCs w:val="20"/>
        </w:rPr>
      </w:pPr>
      <w:r>
        <w:rPr>
          <w:color w:val="000000"/>
          <w:sz w:val="20"/>
          <w:szCs w:val="20"/>
        </w:rPr>
        <w:t>Filner called "the generators" many unsavory names (e.g., criminals), demanded that FERC declare wholesale rates in California unjust and unreasonable, take the money back from the generators and return it to the victims of S.D.  Filner has sponsored a bill requiring FERC to do it.  Filner got into a couple of scuffles with generators on the panel.</w:t>
      </w:r>
    </w:p>
    <w:p>
      <w:pPr>
        <w:pStyle w:val="Normal"/>
        <w:numPr>
          <w:ilvl w:val="0"/>
          <w:numId w:val="4"/>
        </w:numPr>
        <w:tabs>
          <w:tab w:val="left" w:pos="720" w:leader="none"/>
        </w:tabs>
        <w:autoSpaceDE w:val="false"/>
        <w:spacing w:lineRule="atLeast" w:line="240"/>
        <w:ind w:hanging="360" w:start="720" w:end="0"/>
        <w:rPr>
          <w:color w:val="000000"/>
          <w:sz w:val="20"/>
          <w:szCs w:val="20"/>
        </w:rPr>
      </w:pPr>
      <w:r>
        <w:rPr>
          <w:color w:val="000000"/>
          <w:sz w:val="20"/>
          <w:szCs w:val="20"/>
        </w:rPr>
        <w:t>Hunter agreed wtih Filner (without all the screaming, arm-waving and invective exhibited by Filner) and said that he supports the bill.</w:t>
      </w:r>
    </w:p>
    <w:p>
      <w:pPr>
        <w:pStyle w:val="Normal"/>
        <w:numPr>
          <w:ilvl w:val="0"/>
          <w:numId w:val="4"/>
        </w:numPr>
        <w:tabs>
          <w:tab w:val="left" w:pos="720" w:leader="none"/>
        </w:tabs>
        <w:ind w:hanging="360" w:start="720" w:end="0"/>
        <w:rPr>
          <w:sz w:val="20"/>
        </w:rPr>
      </w:pPr>
      <w:r>
        <w:rPr>
          <w:sz w:val="20"/>
        </w:rPr>
        <w:t xml:space="preserve">Hoecker stated that FERC would do what it takes, but got into a lengthy discussion with Filner/Hunter regarding whether FERC had the authority to engage in retroactive ratemaking.  Hoecker’s view was that FERC did not have that authority. </w:t>
      </w:r>
    </w:p>
    <w:p>
      <w:pPr>
        <w:pStyle w:val="Normal"/>
        <w:numPr>
          <w:ilvl w:val="0"/>
          <w:numId w:val="4"/>
        </w:numPr>
        <w:tabs>
          <w:tab w:val="left" w:pos="720" w:leader="none"/>
        </w:tabs>
        <w:ind w:hanging="360" w:start="720" w:end="0"/>
        <w:rPr>
          <w:sz w:val="20"/>
        </w:rPr>
      </w:pPr>
      <w:r>
        <w:rPr>
          <w:sz w:val="20"/>
        </w:rPr>
        <w:t>Heber declared that bad policies were the real criminals.  He went on at length--several times--about the ineffectiveness of price caps and the harm they inflict.</w:t>
      </w:r>
    </w:p>
    <w:p>
      <w:pPr>
        <w:pStyle w:val="Normal"/>
        <w:numPr>
          <w:ilvl w:val="0"/>
          <w:numId w:val="4"/>
        </w:numPr>
        <w:tabs>
          <w:tab w:val="left" w:pos="720" w:leader="none"/>
        </w:tabs>
        <w:ind w:hanging="360" w:start="720" w:end="0"/>
        <w:rPr>
          <w:sz w:val="20"/>
        </w:rPr>
      </w:pPr>
      <w:r>
        <w:rPr>
          <w:sz w:val="20"/>
        </w:rPr>
        <w:t>Massey was the only one willing to declare that there was market power.</w:t>
      </w:r>
    </w:p>
    <w:p>
      <w:pPr>
        <w:pStyle w:val="Normal"/>
        <w:numPr>
          <w:ilvl w:val="0"/>
          <w:numId w:val="4"/>
        </w:numPr>
        <w:tabs>
          <w:tab w:val="left" w:pos="720" w:leader="none"/>
        </w:tabs>
        <w:ind w:hanging="360" w:start="720" w:end="0"/>
        <w:rPr>
          <w:sz w:val="20"/>
        </w:rPr>
      </w:pPr>
      <w:r>
        <w:rPr>
          <w:sz w:val="20"/>
        </w:rPr>
        <w:t>In response to Loretta Lynch’s opening remarks that suppliers with market power were gouging Californians, Barton asked Ms Lynch to define market power.  She stumbled a bit.</w:t>
      </w:r>
    </w:p>
    <w:p>
      <w:pPr>
        <w:pStyle w:val="Normal"/>
        <w:numPr>
          <w:ilvl w:val="0"/>
          <w:numId w:val="4"/>
        </w:numPr>
        <w:tabs>
          <w:tab w:val="left" w:pos="720" w:leader="none"/>
        </w:tabs>
        <w:ind w:hanging="360" w:start="720" w:end="0"/>
        <w:rPr>
          <w:sz w:val="20"/>
        </w:rPr>
      </w:pPr>
      <w:r>
        <w:rPr>
          <w:sz w:val="20"/>
        </w:rPr>
        <w:t>There was considerable discussion about FERC pre-emption.  On several occasions, Hoecker noted that FERC had been asked to defer to California, and had done so on many occasions.  He noted that folks were now asking FERC to pre-empt AB 1890 (e.g., merge the PX and the ISO) and PUC decisions.</w:t>
      </w:r>
      <w:r>
        <w:br w:type="page"/>
      </w:r>
    </w:p>
    <w:p>
      <w:pPr>
        <w:pStyle w:val="Normal"/>
        <w:rPr>
          <w:b/>
          <w:bCs/>
          <w:u w:val="single"/>
        </w:rPr>
      </w:pPr>
      <w:r>
        <w:rPr>
          <w:u w:val="single"/>
        </w:rPr>
        <w:t>The FERC Hearing</w:t>
      </w:r>
    </w:p>
    <w:p>
      <w:pPr>
        <w:pStyle w:val="Normal"/>
        <w:rPr>
          <w:sz w:val="20"/>
        </w:rPr>
      </w:pPr>
      <w:r>
        <w:rPr>
          <w:sz w:val="20"/>
        </w:rPr>
        <w:t xml:space="preserve">There were four panels:  </w:t>
      </w:r>
    </w:p>
    <w:p>
      <w:pPr>
        <w:pStyle w:val="Normal"/>
        <w:numPr>
          <w:ilvl w:val="0"/>
          <w:numId w:val="3"/>
        </w:numPr>
        <w:rPr>
          <w:sz w:val="20"/>
        </w:rPr>
      </w:pPr>
      <w:r>
        <w:rPr>
          <w:sz w:val="20"/>
        </w:rPr>
        <w:t xml:space="preserve">local, state and federal politicians or their representatives; </w:t>
      </w:r>
    </w:p>
    <w:p>
      <w:pPr>
        <w:pStyle w:val="Normal"/>
        <w:numPr>
          <w:ilvl w:val="0"/>
          <w:numId w:val="3"/>
        </w:numPr>
        <w:rPr>
          <w:sz w:val="20"/>
        </w:rPr>
      </w:pPr>
      <w:r>
        <w:rPr>
          <w:sz w:val="20"/>
        </w:rPr>
        <w:t xml:space="preserve">consumer groups, a local government “consumer” and the Escondido Chamber of Commerce; </w:t>
      </w:r>
    </w:p>
    <w:p>
      <w:pPr>
        <w:pStyle w:val="Normal"/>
        <w:numPr>
          <w:ilvl w:val="0"/>
          <w:numId w:val="3"/>
        </w:numPr>
        <w:rPr>
          <w:sz w:val="20"/>
        </w:rPr>
      </w:pPr>
      <w:r>
        <w:rPr>
          <w:sz w:val="20"/>
        </w:rPr>
        <w:t xml:space="preserve">IOUs, the ISO, the PX and Bob Levin from NYMEX; and </w:t>
      </w:r>
    </w:p>
    <w:p>
      <w:pPr>
        <w:pStyle w:val="Normal"/>
        <w:numPr>
          <w:ilvl w:val="0"/>
          <w:numId w:val="3"/>
        </w:numPr>
        <w:rPr>
          <w:sz w:val="20"/>
        </w:rPr>
      </w:pPr>
      <w:r>
        <w:rPr>
          <w:sz w:val="20"/>
        </w:rPr>
        <w:t>Reliant, Duke, Green Mountain, Enron, a DSM expert from LBL, and Wolak and Bushnell, the heads of the ISO and PX market surveillance committees, respectively.</w:t>
      </w:r>
    </w:p>
    <w:p>
      <w:pPr>
        <w:pStyle w:val="Normal"/>
        <w:ind w:start="360" w:end="0"/>
        <w:rPr>
          <w:sz w:val="20"/>
        </w:rPr>
      </w:pPr>
      <w:r>
        <w:rPr>
          <w:sz w:val="20"/>
        </w:rPr>
      </w:r>
    </w:p>
    <w:p>
      <w:pPr>
        <w:pStyle w:val="Heading3"/>
        <w:ind w:hanging="0" w:start="0"/>
        <w:rPr>
          <w:i/>
          <w:i/>
          <w:iCs/>
          <w:u w:val="none"/>
        </w:rPr>
      </w:pPr>
      <w:r>
        <w:rPr>
          <w:i/>
          <w:iCs/>
          <w:u w:val="none"/>
        </w:rPr>
        <w:t>Panel 1</w:t>
      </w:r>
    </w:p>
    <w:p>
      <w:pPr>
        <w:pStyle w:val="Normal"/>
        <w:numPr>
          <w:ilvl w:val="0"/>
          <w:numId w:val="4"/>
        </w:numPr>
        <w:tabs>
          <w:tab w:val="left" w:pos="720" w:leader="none"/>
        </w:tabs>
        <w:ind w:hanging="360" w:start="720" w:end="0"/>
        <w:rPr>
          <w:sz w:val="20"/>
        </w:rPr>
      </w:pPr>
      <w:r>
        <w:rPr>
          <w:sz w:val="20"/>
        </w:rPr>
        <w:t xml:space="preserve">The first panel was scheduled to run for about an an hour and fifteen minutes and instead lasted for nearly three hours as politician after politician placed all the blame on the wholesale market and all the resposibility for fixing California’s problems with FERC. </w:t>
      </w:r>
    </w:p>
    <w:p>
      <w:pPr>
        <w:pStyle w:val="Normal"/>
        <w:numPr>
          <w:ilvl w:val="0"/>
          <w:numId w:val="4"/>
        </w:numPr>
        <w:tabs>
          <w:tab w:val="left" w:pos="720" w:leader="none"/>
        </w:tabs>
        <w:ind w:hanging="360" w:start="720" w:end="0"/>
        <w:rPr>
          <w:sz w:val="20"/>
        </w:rPr>
      </w:pPr>
      <w:r>
        <w:rPr>
          <w:sz w:val="20"/>
        </w:rPr>
        <w:t>Mike Kahn, the head of the Electricity Oversight Board, read a statement from Davis (which I’ve distributed).  When Heber questioned Kahn on the specifics, “I don’t know,” and “The ISO is more equipped to answer that” came up frequently.  When asked on who’s behalf—Kahn or the Governor—he was speaking in response to the questions, Kahn answered, “It depends on the questions.”</w:t>
      </w:r>
    </w:p>
    <w:p>
      <w:pPr>
        <w:pStyle w:val="Normal"/>
        <w:numPr>
          <w:ilvl w:val="0"/>
          <w:numId w:val="4"/>
        </w:numPr>
        <w:tabs>
          <w:tab w:val="left" w:pos="720" w:leader="none"/>
        </w:tabs>
        <w:ind w:hanging="360" w:start="720" w:end="0"/>
        <w:rPr>
          <w:sz w:val="20"/>
        </w:rPr>
      </w:pPr>
      <w:r>
        <w:rPr>
          <w:sz w:val="20"/>
        </w:rPr>
        <w:t>The mayor of San Diego gave one of the more thoughtful presentations.  She believes in competition, believes California ought to continue on that course, and doesn’t like price caps.  But she said the pain was too great and caps and refunds had to be considered until well-functioning markets were in place.</w:t>
      </w:r>
    </w:p>
    <w:p>
      <w:pPr>
        <w:pStyle w:val="Normal"/>
        <w:numPr>
          <w:ilvl w:val="0"/>
          <w:numId w:val="4"/>
        </w:numPr>
        <w:tabs>
          <w:tab w:val="left" w:pos="720" w:leader="none"/>
        </w:tabs>
        <w:ind w:hanging="360" w:start="720" w:end="0"/>
        <w:rPr>
          <w:sz w:val="20"/>
        </w:rPr>
      </w:pPr>
      <w:r>
        <w:rPr>
          <w:sz w:val="20"/>
        </w:rPr>
        <w:t>Rod Wright (Chair of Assembly oversight committee) launched a proposal that would put the state squarely back in the role of power plant developer and institute regulated prices for wholesale power.</w:t>
      </w:r>
    </w:p>
    <w:p>
      <w:pPr>
        <w:pStyle w:val="Normal"/>
        <w:numPr>
          <w:ilvl w:val="0"/>
          <w:numId w:val="4"/>
        </w:numPr>
        <w:tabs>
          <w:tab w:val="left" w:pos="720" w:leader="none"/>
        </w:tabs>
        <w:ind w:hanging="360" w:start="720" w:end="0"/>
        <w:rPr>
          <w:sz w:val="20"/>
        </w:rPr>
      </w:pPr>
      <w:r>
        <w:rPr>
          <w:sz w:val="20"/>
        </w:rPr>
        <w:t>Filner was also at the FERC hearing.  He engaged in more name-calling.</w:t>
      </w:r>
    </w:p>
    <w:p>
      <w:pPr>
        <w:pStyle w:val="Normal"/>
        <w:numPr>
          <w:ilvl w:val="0"/>
          <w:numId w:val="4"/>
        </w:numPr>
        <w:tabs>
          <w:tab w:val="left" w:pos="720" w:leader="none"/>
        </w:tabs>
        <w:ind w:hanging="360" w:start="720" w:end="0"/>
        <w:rPr>
          <w:sz w:val="20"/>
        </w:rPr>
      </w:pPr>
      <w:r>
        <w:rPr>
          <w:sz w:val="20"/>
        </w:rPr>
        <w:t>Carl Wood was the last speaker on the panel.  Making up for Barton’s refusal to let him speak during the hearing the day before, Wood read an extremely lengthy statement that sounded a lot like Filner.  He demanded that FERC re-institute cost-based rates throughout the entire Western wholesale market.</w:t>
      </w:r>
    </w:p>
    <w:p>
      <w:pPr>
        <w:pStyle w:val="Normal"/>
        <w:numPr>
          <w:ilvl w:val="0"/>
          <w:numId w:val="4"/>
        </w:numPr>
        <w:tabs>
          <w:tab w:val="left" w:pos="720" w:leader="none"/>
        </w:tabs>
        <w:ind w:hanging="360" w:start="720" w:end="0"/>
        <w:rPr>
          <w:sz w:val="20"/>
        </w:rPr>
      </w:pPr>
      <w:r>
        <w:rPr>
          <w:sz w:val="20"/>
        </w:rPr>
        <w:t xml:space="preserve">The FERC commissioners were visibily upset with Wood’s remarks.  Each proceeded to ask him very detailed questions about the implications of his “proposal” and how it might be implemented.  </w:t>
      </w:r>
    </w:p>
    <w:p>
      <w:pPr>
        <w:pStyle w:val="Normal"/>
        <w:numPr>
          <w:ilvl w:val="0"/>
          <w:numId w:val="4"/>
        </w:numPr>
        <w:tabs>
          <w:tab w:val="left" w:pos="720" w:leader="none"/>
        </w:tabs>
        <w:ind w:hanging="360" w:start="720" w:end="0"/>
        <w:rPr>
          <w:sz w:val="20"/>
        </w:rPr>
      </w:pPr>
      <w:r>
        <w:rPr>
          <w:sz w:val="20"/>
        </w:rPr>
        <w:t>Wood became quite agitated by the questions.  It ended when Loretta Lynch handed Wood the governor’s statement.  Wood read a sentence from the statement and said that the sentence constituted his answer to the questions. (Wood later apologized and left before the hearing ended.)</w:t>
      </w:r>
    </w:p>
    <w:p>
      <w:pPr>
        <w:pStyle w:val="Normal"/>
        <w:numPr>
          <w:ilvl w:val="0"/>
          <w:numId w:val="4"/>
        </w:numPr>
        <w:tabs>
          <w:tab w:val="left" w:pos="720" w:leader="none"/>
        </w:tabs>
        <w:ind w:hanging="360" w:start="720" w:end="0"/>
        <w:rPr>
          <w:sz w:val="20"/>
        </w:rPr>
      </w:pPr>
      <w:r>
        <w:rPr>
          <w:sz w:val="20"/>
        </w:rPr>
        <w:t xml:space="preserve">In a conversation after the hearing with Commissioners Breathitt and Heber, each raised the incident and expressed their frustration.  </w:t>
      </w:r>
    </w:p>
    <w:p>
      <w:pPr>
        <w:pStyle w:val="Normal"/>
        <w:numPr>
          <w:ilvl w:val="0"/>
          <w:numId w:val="4"/>
        </w:numPr>
        <w:tabs>
          <w:tab w:val="left" w:pos="720" w:leader="none"/>
        </w:tabs>
        <w:ind w:hanging="360" w:start="720" w:end="0"/>
        <w:rPr>
          <w:sz w:val="20"/>
        </w:rPr>
      </w:pPr>
      <w:r>
        <w:rPr>
          <w:sz w:val="20"/>
        </w:rPr>
        <w:t>Hoecker then wrapped up with the following comments:  1) California said that it wants to form a partnership with FERC to solve the problems.  2) The comments he’d heard, particularly from Carl Wood and Rod Wright, sounded like California wanted to “island” itself from the rest of the country, that those sorts of proposals conflicted strongly with interstate commerce, and that FERC was consequently going to have problems with those proposals.  3) He re-iterated that FERC, in response to California’s requests, had shown much deference to California, but he was now hearing that California wanted FERC to step in.</w:t>
      </w:r>
    </w:p>
    <w:p>
      <w:pPr>
        <w:pStyle w:val="Normal"/>
        <w:rPr>
          <w:sz w:val="20"/>
        </w:rPr>
      </w:pPr>
      <w:r>
        <w:rPr>
          <w:sz w:val="20"/>
        </w:rPr>
      </w:r>
    </w:p>
    <w:p>
      <w:pPr>
        <w:pStyle w:val="Heading3"/>
        <w:ind w:hanging="0" w:start="0"/>
        <w:rPr>
          <w:i/>
          <w:i/>
          <w:iCs/>
          <w:u w:val="none"/>
        </w:rPr>
      </w:pPr>
      <w:r>
        <w:rPr>
          <w:i/>
          <w:iCs/>
          <w:u w:val="none"/>
        </w:rPr>
        <w:t>Panel 2</w:t>
      </w:r>
    </w:p>
    <w:p>
      <w:pPr>
        <w:pStyle w:val="Normal"/>
        <w:numPr>
          <w:ilvl w:val="0"/>
          <w:numId w:val="7"/>
        </w:numPr>
        <w:tabs>
          <w:tab w:val="left" w:pos="720" w:leader="none"/>
        </w:tabs>
        <w:ind w:hanging="360" w:start="720" w:end="0"/>
        <w:rPr>
          <w:sz w:val="20"/>
        </w:rPr>
      </w:pPr>
      <w:r>
        <w:rPr>
          <w:sz w:val="20"/>
        </w:rPr>
        <w:t>Michael Shames of the S.D. based consumer group UCAN declared that “FERC was on trial.”  FERC didn’t flinch.</w:t>
      </w:r>
    </w:p>
    <w:p>
      <w:pPr>
        <w:pStyle w:val="Normal"/>
        <w:numPr>
          <w:ilvl w:val="0"/>
          <w:numId w:val="7"/>
        </w:numPr>
        <w:tabs>
          <w:tab w:val="left" w:pos="720" w:leader="none"/>
        </w:tabs>
        <w:ind w:hanging="360" w:start="720" w:end="0"/>
        <w:rPr>
          <w:sz w:val="20"/>
        </w:rPr>
      </w:pPr>
      <w:r>
        <w:rPr>
          <w:sz w:val="20"/>
        </w:rPr>
        <w:t>Mike Florio, ISO board member who also works for the S.F.-based consumer group TURN, called for LMP pricing and a merger between the ISO and the PX.</w:t>
      </w:r>
    </w:p>
    <w:p>
      <w:pPr>
        <w:pStyle w:val="Normal"/>
        <w:numPr>
          <w:ilvl w:val="0"/>
          <w:numId w:val="7"/>
        </w:numPr>
        <w:tabs>
          <w:tab w:val="left" w:pos="720" w:leader="none"/>
        </w:tabs>
        <w:ind w:hanging="360" w:start="720" w:end="0"/>
        <w:rPr>
          <w:sz w:val="20"/>
        </w:rPr>
      </w:pPr>
      <w:r>
        <w:rPr>
          <w:sz w:val="20"/>
        </w:rPr>
        <w:t>The Union rep said if something wasn’t done, they’d go for the initiative process.  (Recall that the unions, together with the utilities, were the biggest opponents of Prop. 13, the initiative designed to roll back AB 1890.)</w:t>
      </w:r>
    </w:p>
    <w:p>
      <w:pPr>
        <w:pStyle w:val="Normal"/>
        <w:rPr>
          <w:sz w:val="20"/>
        </w:rPr>
      </w:pPr>
      <w:r>
        <w:rPr>
          <w:sz w:val="20"/>
        </w:rPr>
      </w:r>
    </w:p>
    <w:p>
      <w:pPr>
        <w:pStyle w:val="Heading3"/>
        <w:ind w:hanging="0" w:start="0"/>
        <w:rPr>
          <w:b w:val="false"/>
          <w:bCs w:val="false"/>
          <w:u w:val="none"/>
        </w:rPr>
      </w:pPr>
      <w:r>
        <w:rPr>
          <w:i/>
          <w:iCs/>
          <w:u w:val="none"/>
        </w:rPr>
        <w:t>Panel 3</w:t>
      </w:r>
    </w:p>
    <w:p>
      <w:pPr>
        <w:pStyle w:val="Normal"/>
        <w:numPr>
          <w:ilvl w:val="0"/>
          <w:numId w:val="6"/>
        </w:numPr>
        <w:tabs>
          <w:tab w:val="clear" w:pos="720"/>
          <w:tab w:val="left" w:pos="360" w:leader="none"/>
        </w:tabs>
        <w:ind w:hanging="360" w:start="720" w:end="0"/>
        <w:rPr>
          <w:sz w:val="20"/>
        </w:rPr>
      </w:pPr>
      <w:r>
        <w:rPr>
          <w:sz w:val="20"/>
        </w:rPr>
        <w:t>The utilities—Sempra and Edison in particular—blamed market power and gaming.  But when pressed, both Sempra and Edison admitted they had no evidence, nor could they identify anyone in particular, which is why they thought it was so important that FERC do a thorough investigation (including discovery and evidentiary hearings).</w:t>
      </w:r>
    </w:p>
    <w:p>
      <w:pPr>
        <w:pStyle w:val="Normal"/>
        <w:numPr>
          <w:ilvl w:val="0"/>
          <w:numId w:val="6"/>
        </w:numPr>
        <w:tabs>
          <w:tab w:val="clear" w:pos="720"/>
          <w:tab w:val="left" w:pos="360" w:leader="none"/>
        </w:tabs>
        <w:ind w:hanging="360" w:start="720" w:end="0"/>
        <w:rPr>
          <w:sz w:val="20"/>
        </w:rPr>
      </w:pPr>
      <w:r>
        <w:rPr>
          <w:sz w:val="20"/>
        </w:rPr>
        <w:t>The utilities also stressed that too much focus has been placed on generators and that more needed to be put on scheduling coordinators, marketers and brokers.</w:t>
      </w:r>
    </w:p>
    <w:p>
      <w:pPr>
        <w:pStyle w:val="Normal"/>
        <w:numPr>
          <w:ilvl w:val="0"/>
          <w:numId w:val="6"/>
        </w:numPr>
        <w:tabs>
          <w:tab w:val="clear" w:pos="720"/>
          <w:tab w:val="left" w:pos="360" w:leader="none"/>
        </w:tabs>
        <w:ind w:hanging="360" w:start="720" w:end="0"/>
        <w:rPr>
          <w:sz w:val="20"/>
        </w:rPr>
      </w:pPr>
      <w:r>
        <w:rPr>
          <w:sz w:val="20"/>
        </w:rPr>
        <w:t>The utilities also all asked for “targeted” and “temporary” price caps.</w:t>
      </w:r>
    </w:p>
    <w:p>
      <w:pPr>
        <w:pStyle w:val="Normal"/>
        <w:numPr>
          <w:ilvl w:val="0"/>
          <w:numId w:val="6"/>
        </w:numPr>
        <w:tabs>
          <w:tab w:val="clear" w:pos="720"/>
          <w:tab w:val="left" w:pos="360" w:leader="none"/>
        </w:tabs>
        <w:ind w:hanging="360" w:start="720" w:end="0"/>
        <w:rPr>
          <w:sz w:val="20"/>
        </w:rPr>
      </w:pPr>
      <w:r>
        <w:rPr>
          <w:sz w:val="20"/>
        </w:rPr>
        <w:t>Baum of Sempra pushed LMP and merging the ISO and the PX.  He also claimed that SCs were gaming the system to create congestion in order to push up prices.</w:t>
      </w:r>
    </w:p>
    <w:p>
      <w:pPr>
        <w:pStyle w:val="Normal"/>
        <w:numPr>
          <w:ilvl w:val="0"/>
          <w:numId w:val="6"/>
        </w:numPr>
        <w:tabs>
          <w:tab w:val="clear" w:pos="720"/>
          <w:tab w:val="left" w:pos="360" w:leader="none"/>
        </w:tabs>
        <w:ind w:hanging="360" w:start="720" w:end="0"/>
        <w:rPr>
          <w:sz w:val="20"/>
        </w:rPr>
      </w:pPr>
      <w:r>
        <w:rPr>
          <w:sz w:val="20"/>
        </w:rPr>
        <w:t>The ISO’s CEO talked about the market fundamentals as the key reason for high prices.  The PX’s CEO talked about the benefits of using a uniform price auction and the Blue Ribbon panel the PX had convened to assess whether the PX should continue with a uniform price auction.</w:t>
      </w:r>
    </w:p>
    <w:p>
      <w:pPr>
        <w:pStyle w:val="Normal"/>
        <w:numPr>
          <w:ilvl w:val="0"/>
          <w:numId w:val="6"/>
        </w:numPr>
        <w:tabs>
          <w:tab w:val="clear" w:pos="720"/>
          <w:tab w:val="left" w:pos="360" w:leader="none"/>
        </w:tabs>
        <w:ind w:hanging="360" w:start="720" w:end="0"/>
        <w:rPr>
          <w:sz w:val="20"/>
        </w:rPr>
      </w:pPr>
      <w:r>
        <w:rPr>
          <w:sz w:val="20"/>
        </w:rPr>
        <w:t>Bob Levin of NYMEX in blunt and (surprisingly) brief terms explained that California’s structure was fatally flawed, that NYMEX and others had implored California not to go the route that it did, and that it’s no surprise that California ended up where it is.  He said that California now has a chance to do it right.  He did a good job.</w:t>
      </w:r>
    </w:p>
    <w:p>
      <w:pPr>
        <w:pStyle w:val="Normal"/>
        <w:numPr>
          <w:ilvl w:val="0"/>
          <w:numId w:val="6"/>
        </w:numPr>
        <w:tabs>
          <w:tab w:val="clear" w:pos="720"/>
          <w:tab w:val="left" w:pos="360" w:leader="none"/>
        </w:tabs>
        <w:ind w:hanging="360" w:start="720" w:end="0"/>
        <w:rPr>
          <w:sz w:val="20"/>
        </w:rPr>
      </w:pPr>
      <w:r>
        <w:rPr>
          <w:sz w:val="20"/>
        </w:rPr>
        <w:t>Hoecker asked Steve Baum, Sempra’s CEO, point blank why Sempra hadn’t hedged.  Baum’s response 1) authority wasn’t there, 2) the “vision” of AB 1890 placed the IOU as a “delivery company,” and, 3) the company should have hedged for the 400 MW that it did have authority to hedge, but it didn’t expect prices to go up so “and neither did anyone else.”</w:t>
      </w:r>
    </w:p>
    <w:p>
      <w:pPr>
        <w:pStyle w:val="Normal"/>
        <w:numPr>
          <w:ilvl w:val="0"/>
          <w:numId w:val="6"/>
        </w:numPr>
        <w:tabs>
          <w:tab w:val="clear" w:pos="720"/>
          <w:tab w:val="left" w:pos="360" w:leader="none"/>
        </w:tabs>
        <w:ind w:hanging="360" w:start="720" w:end="0"/>
        <w:rPr>
          <w:sz w:val="20"/>
        </w:rPr>
      </w:pPr>
      <w:r>
        <w:rPr>
          <w:sz w:val="20"/>
        </w:rPr>
        <w:t>Edison said they were tired of criticisms that they hadn’t hedged.  Edison said that it hedged $30MM and made $415MM!!!  (This could come back to bite Edison, since some may interpret Edison’s actions as “gouging” San Diegans.  One wonders if Edison has “gamed” the system.)</w:t>
      </w:r>
    </w:p>
    <w:p>
      <w:pPr>
        <w:pStyle w:val="Normal"/>
        <w:numPr>
          <w:ilvl w:val="0"/>
          <w:numId w:val="6"/>
        </w:numPr>
        <w:tabs>
          <w:tab w:val="clear" w:pos="720"/>
          <w:tab w:val="left" w:pos="360" w:leader="none"/>
        </w:tabs>
        <w:ind w:hanging="360" w:start="720" w:end="0"/>
        <w:rPr>
          <w:sz w:val="20"/>
        </w:rPr>
      </w:pPr>
      <w:r>
        <w:rPr>
          <w:sz w:val="20"/>
        </w:rPr>
        <w:t>Heber aggressively questioned the IOUs and castigated them for recommending rate caps.  The utilities said that they didn’t like caps, but they were necessary.  He also questioned PG&amp;E at length about whether they could support Transcos.  PG&amp;E equivocated.</w:t>
      </w:r>
    </w:p>
    <w:p>
      <w:pPr>
        <w:pStyle w:val="Normal"/>
        <w:rPr>
          <w:sz w:val="20"/>
        </w:rPr>
      </w:pPr>
      <w:r>
        <w:rPr>
          <w:sz w:val="20"/>
        </w:rPr>
      </w:r>
    </w:p>
    <w:p>
      <w:pPr>
        <w:pStyle w:val="Heading4"/>
        <w:ind w:hanging="0" w:start="0"/>
        <w:rPr/>
      </w:pPr>
      <w:r>
        <w:rPr/>
        <w:t>Panel 4</w:t>
      </w:r>
    </w:p>
    <w:p>
      <w:pPr>
        <w:pStyle w:val="BodyText"/>
        <w:rPr/>
      </w:pPr>
      <w:r>
        <w:rPr/>
        <w:t xml:space="preserve">Overall, the Commissioners were very accommodating and gave us all ample opportunity to make the points that we came to make.  </w:t>
      </w:r>
    </w:p>
    <w:p>
      <w:pPr>
        <w:pStyle w:val="Normal"/>
        <w:numPr>
          <w:ilvl w:val="0"/>
          <w:numId w:val="2"/>
        </w:numPr>
        <w:tabs>
          <w:tab w:val="left" w:pos="720" w:leader="none"/>
        </w:tabs>
        <w:ind w:hanging="360" w:start="720" w:end="0"/>
        <w:rPr>
          <w:sz w:val="20"/>
        </w:rPr>
      </w:pPr>
      <w:r>
        <w:rPr>
          <w:sz w:val="20"/>
        </w:rPr>
        <w:t>Reliant blamed utility underscheduling to maximize CTC recovery for the price spikes.</w:t>
      </w:r>
    </w:p>
    <w:p>
      <w:pPr>
        <w:pStyle w:val="Normal"/>
        <w:numPr>
          <w:ilvl w:val="0"/>
          <w:numId w:val="5"/>
        </w:numPr>
        <w:tabs>
          <w:tab w:val="clear" w:pos="720"/>
        </w:tabs>
        <w:ind w:hanging="360" w:start="720" w:end="0"/>
        <w:rPr>
          <w:sz w:val="20"/>
        </w:rPr>
      </w:pPr>
      <w:r>
        <w:rPr>
          <w:sz w:val="20"/>
        </w:rPr>
        <w:t>Reliant and Duke said they have acted properly in the markets.</w:t>
      </w:r>
    </w:p>
    <w:p>
      <w:pPr>
        <w:pStyle w:val="Normal"/>
        <w:numPr>
          <w:ilvl w:val="0"/>
          <w:numId w:val="5"/>
        </w:numPr>
        <w:tabs>
          <w:tab w:val="clear" w:pos="720"/>
        </w:tabs>
        <w:ind w:hanging="360" w:start="720" w:end="0"/>
        <w:rPr>
          <w:sz w:val="20"/>
        </w:rPr>
      </w:pPr>
      <w:r>
        <w:rPr>
          <w:sz w:val="20"/>
        </w:rPr>
        <w:t>Duke and Reliant said that they’d sold much of their power forward some time ago.</w:t>
      </w:r>
    </w:p>
    <w:p>
      <w:pPr>
        <w:pStyle w:val="Normal"/>
        <w:numPr>
          <w:ilvl w:val="0"/>
          <w:numId w:val="5"/>
        </w:numPr>
        <w:tabs>
          <w:tab w:val="clear" w:pos="720"/>
        </w:tabs>
        <w:ind w:hanging="360" w:start="720" w:end="0"/>
        <w:rPr>
          <w:sz w:val="20"/>
        </w:rPr>
      </w:pPr>
      <w:r>
        <w:rPr>
          <w:sz w:val="20"/>
        </w:rPr>
        <w:t>Loretta Lynch asked them to provide the data showing to whom they’d sold forward and under what rates, terms and conditions.</w:t>
      </w:r>
    </w:p>
    <w:p>
      <w:pPr>
        <w:pStyle w:val="Normal"/>
        <w:numPr>
          <w:ilvl w:val="0"/>
          <w:numId w:val="5"/>
        </w:numPr>
        <w:tabs>
          <w:tab w:val="clear" w:pos="720"/>
        </w:tabs>
        <w:ind w:hanging="360" w:start="720" w:end="0"/>
        <w:rPr>
          <w:sz w:val="20"/>
        </w:rPr>
      </w:pPr>
      <w:r>
        <w:rPr>
          <w:sz w:val="20"/>
        </w:rPr>
        <w:t>Wolak and Bushnell of the ISO and PX market surveillance committees agreed with our comments that more information, sooner, was a good thing.  Commissioner Breathitt expressed some concerns about confidentiality, but I think the panel responded to her concerns.</w:t>
      </w:r>
    </w:p>
    <w:p>
      <w:pPr>
        <w:pStyle w:val="Normal"/>
        <w:numPr>
          <w:ilvl w:val="0"/>
          <w:numId w:val="5"/>
        </w:numPr>
        <w:tabs>
          <w:tab w:val="clear" w:pos="720"/>
        </w:tabs>
        <w:ind w:hanging="360" w:start="720" w:end="0"/>
        <w:rPr>
          <w:sz w:val="20"/>
        </w:rPr>
      </w:pPr>
      <w:r>
        <w:rPr>
          <w:sz w:val="20"/>
        </w:rPr>
        <w:t>Wolak said that because folks bid “portfolios” it would be impossible to identify a single market participant as “the culprit.”  He stated that he could, however, identify which participants were likely to have market power, but that’s as far as the data would permit.</w:t>
      </w:r>
    </w:p>
    <w:p>
      <w:pPr>
        <w:pStyle w:val="Normal"/>
        <w:numPr>
          <w:ilvl w:val="0"/>
          <w:numId w:val="5"/>
        </w:numPr>
        <w:tabs>
          <w:tab w:val="clear" w:pos="720"/>
        </w:tabs>
        <w:ind w:hanging="360" w:start="720" w:end="0"/>
        <w:rPr>
          <w:sz w:val="20"/>
        </w:rPr>
      </w:pPr>
      <w:r>
        <w:rPr>
          <w:sz w:val="20"/>
        </w:rPr>
        <w:t>There was discussion about how the CTC mechanism 1) killed retail competition, 2) causes underscheduling, and 3) kills demand responsive incentives.</w:t>
      </w:r>
    </w:p>
    <w:p>
      <w:pPr>
        <w:pStyle w:val="Normal"/>
        <w:numPr>
          <w:ilvl w:val="0"/>
          <w:numId w:val="5"/>
        </w:numPr>
        <w:tabs>
          <w:tab w:val="clear" w:pos="720"/>
        </w:tabs>
        <w:ind w:hanging="360" w:start="720" w:end="0"/>
        <w:rPr>
          <w:sz w:val="20"/>
        </w:rPr>
      </w:pPr>
      <w:r>
        <w:rPr>
          <w:sz w:val="20"/>
        </w:rPr>
        <w:t>There was discussion regarding the importance of hedging.</w:t>
      </w:r>
    </w:p>
    <w:p>
      <w:pPr>
        <w:pStyle w:val="Normal"/>
        <w:numPr>
          <w:ilvl w:val="0"/>
          <w:numId w:val="5"/>
        </w:numPr>
        <w:tabs>
          <w:tab w:val="clear" w:pos="720"/>
        </w:tabs>
        <w:ind w:hanging="360" w:start="720" w:end="0"/>
        <w:rPr>
          <w:sz w:val="20"/>
        </w:rPr>
      </w:pPr>
      <w:r>
        <w:rPr>
          <w:sz w:val="20"/>
        </w:rPr>
        <w:t>There was discussion about the need to explore competitive default provider.  Wolak has a proposal in his recommendations.  We discussed how to make his recommendation better.</w:t>
      </w:r>
    </w:p>
    <w:p>
      <w:pPr>
        <w:pStyle w:val="Normal"/>
        <w:numPr>
          <w:ilvl w:val="0"/>
          <w:numId w:val="5"/>
        </w:numPr>
        <w:tabs>
          <w:tab w:val="clear" w:pos="720"/>
        </w:tabs>
        <w:ind w:hanging="360" w:start="720" w:end="0"/>
        <w:rPr>
          <w:sz w:val="20"/>
        </w:rPr>
      </w:pPr>
      <w:r>
        <w:rPr>
          <w:sz w:val="20"/>
        </w:rPr>
        <w:t>Both Wolak and I gave reasons why it was a bad idea to merge the ISO and PX and Wolak took a couple of good shots at PJM (as did Levin from NYMEX in his comments).</w:t>
      </w:r>
    </w:p>
    <w:p>
      <w:pPr>
        <w:pStyle w:val="Normal"/>
        <w:numPr>
          <w:ilvl w:val="0"/>
          <w:numId w:val="5"/>
        </w:numPr>
        <w:tabs>
          <w:tab w:val="clear" w:pos="720"/>
        </w:tabs>
        <w:ind w:hanging="360" w:start="720" w:end="0"/>
        <w:rPr>
          <w:sz w:val="20"/>
        </w:rPr>
      </w:pPr>
      <w:r>
        <w:rPr>
          <w:sz w:val="20"/>
        </w:rPr>
        <w:t>The Commisisoners were very impressed with Wolak’s most recent analysis and recommendations (thought Wolak did not do a stellar job of articulating them in the short time provided on the panel).  They urged him to keep sending his analyses.</w:t>
      </w:r>
    </w:p>
    <w:p>
      <w:pPr>
        <w:pStyle w:val="Normal"/>
        <w:numPr>
          <w:ilvl w:val="0"/>
          <w:numId w:val="5"/>
        </w:numPr>
        <w:tabs>
          <w:tab w:val="clear" w:pos="720"/>
        </w:tabs>
        <w:ind w:hanging="360" w:start="720" w:end="0"/>
        <w:rPr>
          <w:sz w:val="20"/>
        </w:rPr>
      </w:pPr>
      <w:r>
        <w:rPr>
          <w:sz w:val="20"/>
        </w:rPr>
        <w:t>The need for long-term structural solutions was raised frequently by both panelists and commissioners.</w:t>
      </w:r>
    </w:p>
    <w:p>
      <w:pPr>
        <w:pStyle w:val="Normal"/>
        <w:numPr>
          <w:ilvl w:val="0"/>
          <w:numId w:val="5"/>
        </w:numPr>
        <w:tabs>
          <w:tab w:val="clear" w:pos="720"/>
        </w:tabs>
        <w:ind w:hanging="360" w:start="720" w:end="0"/>
        <w:rPr>
          <w:sz w:val="20"/>
        </w:rPr>
      </w:pPr>
      <w:r>
        <w:rPr>
          <w:sz w:val="20"/>
        </w:rPr>
        <w:t xml:space="preserve">For his last question, Hoecker gave panelists the opportunity to respond to charges of gouging.  </w:t>
      </w:r>
    </w:p>
    <w:p>
      <w:pPr>
        <w:pStyle w:val="Normal"/>
        <w:numPr>
          <w:ilvl w:val="0"/>
          <w:numId w:val="5"/>
        </w:numPr>
        <w:tabs>
          <w:tab w:val="clear" w:pos="720"/>
        </w:tabs>
        <w:ind w:hanging="360" w:start="720" w:end="0"/>
        <w:rPr>
          <w:sz w:val="20"/>
        </w:rPr>
      </w:pPr>
      <w:r>
        <w:rPr>
          <w:sz w:val="20"/>
        </w:rPr>
        <w:t xml:space="preserve">I stated that we had many customers in California that we promised fixed priced deals to two years ago, and as such, we had a keen interest in making certain that the markets work well, since we are obligated to provide service under those fixed-price contracts.  </w:t>
      </w:r>
    </w:p>
    <w:p>
      <w:pPr>
        <w:pStyle w:val="Normal"/>
        <w:numPr>
          <w:ilvl w:val="0"/>
          <w:numId w:val="5"/>
        </w:numPr>
        <w:tabs>
          <w:tab w:val="clear" w:pos="720"/>
        </w:tabs>
        <w:ind w:hanging="360" w:start="720" w:end="0"/>
        <w:rPr>
          <w:sz w:val="20"/>
        </w:rPr>
      </w:pPr>
      <w:r>
        <w:rPr>
          <w:sz w:val="20"/>
        </w:rPr>
        <w:t xml:space="preserve">Reliant and Dynegy said that they’d made money this year, but that past years had been quite lean.  </w:t>
      </w:r>
    </w:p>
    <w:p>
      <w:pPr>
        <w:pStyle w:val="Normal"/>
        <w:numPr>
          <w:ilvl w:val="0"/>
          <w:numId w:val="5"/>
        </w:numPr>
        <w:tabs>
          <w:tab w:val="clear" w:pos="720"/>
        </w:tabs>
        <w:ind w:hanging="360" w:start="720" w:end="0"/>
        <w:rPr>
          <w:sz w:val="20"/>
        </w:rPr>
      </w:pPr>
      <w:r>
        <w:rPr>
          <w:sz w:val="20"/>
        </w:rPr>
        <w:t>Green Mountain said that they’re losing their shirt and their customers are very angry because they’re customers are getting PX-based prices.</w:t>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
    <w:altName w:val="Arial"/>
    <w:charset w:val="00" w:characterSet="windows-1252"/>
    <w:family w:val="swiss"/>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13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2880"/>
        </w:tabs>
        <w:ind w:start="2880" w:hanging="360"/>
      </w:pPr>
      <w:rPr>
        <w:rFonts w:ascii="Symbol" w:hAnsi="Symbol" w:cs="Symbol" w:hint="default"/>
      </w:rPr>
    </w:lvl>
  </w:abstractNum>
  <w:abstractNum w:abstractNumId="3">
    <w:lvl w:ilvl="0">
      <w:start w:val="1"/>
      <w:numFmt w:val="decimal"/>
      <w:lvlText w:val="%1)"/>
      <w:lvlJc w:val="start"/>
      <w:pPr>
        <w:tabs>
          <w:tab w:val="num" w:pos="720"/>
        </w:tabs>
        <w:ind w:start="720" w:hanging="360"/>
      </w:pPr>
      <w:rPr/>
    </w:lvl>
  </w:abstractNum>
  <w:abstractNum w:abstractNumId="4">
    <w:lvl w:ilvl="0">
      <w:start w:val="1"/>
      <w:numFmt w:val="bullet"/>
      <w:lvlText w:val=""/>
      <w:lvlJc w:val="start"/>
      <w:pPr>
        <w:tabs>
          <w:tab w:val="num" w:pos="2880"/>
        </w:tabs>
        <w:ind w:start="2880" w:hanging="360"/>
      </w:pPr>
      <w:rPr>
        <w:rFonts w:ascii="Symbol" w:hAnsi="Symbol" w:cs="Symbol" w:hint="default"/>
      </w:rPr>
    </w:lvl>
  </w:abstractNum>
  <w:abstractNum w:abstractNumId="5">
    <w:lvl w:ilvl="0">
      <w:start w:val="1"/>
      <w:numFmt w:val="bullet"/>
      <w:lvlText w:val=""/>
      <w:lvlJc w:val="start"/>
      <w:pPr>
        <w:tabs>
          <w:tab w:val="num" w:pos="2880"/>
        </w:tabs>
        <w:ind w:start="2880" w:hanging="360"/>
      </w:pPr>
      <w:rPr>
        <w:rFonts w:ascii="Symbol" w:hAnsi="Symbol" w:cs="Symbol" w:hint="default"/>
      </w:rPr>
    </w:lvl>
  </w:abstractNum>
  <w:abstractNum w:abstractNumId="6">
    <w:lvl w:ilvl="0">
      <w:start w:val="1"/>
      <w:numFmt w:val="bullet"/>
      <w:lvlText w:val=""/>
      <w:lvlJc w:val="start"/>
      <w:pPr>
        <w:tabs>
          <w:tab w:val="num" w:pos="2880"/>
        </w:tabs>
        <w:ind w:start="2880" w:hanging="360"/>
      </w:pPr>
      <w:rPr>
        <w:rFonts w:ascii="Symbol" w:hAnsi="Symbol" w:cs="Symbol" w:hint="default"/>
      </w:rPr>
    </w:lvl>
  </w:abstractNum>
  <w:abstractNum w:abstractNumId="7">
    <w:lvl w:ilvl="0">
      <w:start w:val="1"/>
      <w:numFmt w:val="bullet"/>
      <w:lvlText w:val=""/>
      <w:lvlJc w:val="start"/>
      <w:pPr>
        <w:tabs>
          <w:tab w:val="num" w:pos="2880"/>
        </w:tabs>
        <w:ind w:start="288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ind w:hanging="0" w:start="360" w:end="0"/>
      <w:outlineLvl w:val="0"/>
    </w:pPr>
    <w:rPr>
      <w:b/>
      <w:bCs/>
    </w:rPr>
  </w:style>
  <w:style w:type="paragraph" w:styleId="Heading2">
    <w:name w:val="heading 2"/>
    <w:basedOn w:val="Normal"/>
    <w:next w:val="Normal"/>
    <w:qFormat/>
    <w:pPr>
      <w:keepNext w:val="true"/>
      <w:numPr>
        <w:ilvl w:val="1"/>
        <w:numId w:val="1"/>
      </w:numPr>
      <w:autoSpaceDE w:val="false"/>
      <w:spacing w:lineRule="atLeast" w:line="240"/>
      <w:outlineLvl w:val="1"/>
    </w:pPr>
    <w:rPr>
      <w:rFonts w:ascii="Helv;Arial" w:hAnsi="Helv;Arial" w:cs="Helv;Arial"/>
      <w:b/>
      <w:bCs/>
      <w:color w:val="000000"/>
      <w:sz w:val="20"/>
      <w:szCs w:val="20"/>
      <w:u w:val="single"/>
    </w:rPr>
  </w:style>
  <w:style w:type="paragraph" w:styleId="Heading3">
    <w:name w:val="heading 3"/>
    <w:basedOn w:val="Normal"/>
    <w:next w:val="Normal"/>
    <w:qFormat/>
    <w:pPr>
      <w:keepNext w:val="true"/>
      <w:numPr>
        <w:ilvl w:val="2"/>
        <w:numId w:val="1"/>
      </w:numPr>
      <w:outlineLvl w:val="2"/>
    </w:pPr>
    <w:rPr>
      <w:b/>
      <w:bCs/>
      <w:sz w:val="20"/>
      <w:u w:val="single"/>
    </w:rPr>
  </w:style>
  <w:style w:type="paragraph" w:styleId="Heading4">
    <w:name w:val="heading 4"/>
    <w:basedOn w:val="Normal"/>
    <w:next w:val="Normal"/>
    <w:qFormat/>
    <w:pPr>
      <w:keepNext w:val="true"/>
      <w:numPr>
        <w:ilvl w:val="3"/>
        <w:numId w:val="1"/>
      </w:numPr>
      <w:outlineLvl w:val="3"/>
    </w:pPr>
    <w:rPr>
      <w:b/>
      <w:bCs/>
      <w:i/>
      <w:iCs/>
      <w:sz w:val="20"/>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color w:val="000000"/>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rFonts w:ascii="Symbol" w:hAnsi="Symbol" w:cs="Symbol"/>
      <w:color w:val="000000"/>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0">
    <w:name w:val="WW8Num5z0"/>
    <w:qFormat/>
    <w:rPr>
      <w:rFonts w:ascii="Symbol" w:hAnsi="Symbol" w:cs="Symbol"/>
      <w:color w:val="000000"/>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5z3">
    <w:name w:val="WW8Num5z3"/>
    <w:qFormat/>
    <w:rPr>
      <w:rFonts w:ascii="Symbol" w:hAnsi="Symbol" w:cs="Symbol"/>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color w:val="000000"/>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7z3">
    <w:name w:val="WW8Num7z3"/>
    <w:qFormat/>
    <w:rPr>
      <w:rFonts w:ascii="Symbol" w:hAnsi="Symbol" w:cs="Symbol"/>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color w:val="000000"/>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0z3">
    <w:name w:val="WW8Num10z3"/>
    <w:qFormat/>
    <w:rPr>
      <w:rFonts w:ascii="Symbol" w:hAnsi="Symbol" w:cs="Symbol"/>
    </w:rPr>
  </w:style>
  <w:style w:type="character" w:styleId="WW8Num11z0">
    <w:name w:val="WW8Num11z0"/>
    <w:qFormat/>
    <w:rPr/>
  </w:style>
  <w:style w:type="character" w:styleId="WW8Num12z0">
    <w:name w:val="WW8Num12z0"/>
    <w:qFormat/>
    <w:rPr>
      <w:rFonts w:ascii="Symbol" w:hAnsi="Symbol" w:cs="Symbol"/>
      <w:color w:val="000000"/>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2z3">
    <w:name w:val="WW8Num12z3"/>
    <w:qFormat/>
    <w:rPr>
      <w:rFonts w:ascii="Symbol" w:hAnsi="Symbol" w:cs="Symbol"/>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5z0">
    <w:name w:val="WW8Num15z0"/>
    <w:qFormat/>
    <w:rPr>
      <w:rFonts w:ascii="Symbol" w:hAnsi="Symbol" w:cs="Symbol"/>
      <w:color w:val="000000"/>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5z3">
    <w:name w:val="WW8Num15z3"/>
    <w:qFormat/>
    <w:rPr>
      <w:rFonts w:ascii="Symbol" w:hAnsi="Symbol" w:cs="Symbol"/>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7z0">
    <w:name w:val="WW8Num17z0"/>
    <w:qFormat/>
    <w:rPr>
      <w:rFonts w:ascii="Symbol" w:hAnsi="Symbol" w:cs="Symbol"/>
      <w:color w:val="000000"/>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7z3">
    <w:name w:val="WW8Num17z3"/>
    <w:qFormat/>
    <w:rPr>
      <w:rFonts w:ascii="Symbol" w:hAnsi="Symbol" w:cs="Symbol"/>
    </w:rPr>
  </w:style>
  <w:style w:type="character" w:styleId="WW8Num18z0">
    <w:name w:val="WW8Num18z0"/>
    <w:qFormat/>
    <w:rPr>
      <w:rFonts w:ascii="Symbol" w:hAnsi="Symbol" w:cs="Symbol"/>
      <w:color w:val="000000"/>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8z3">
    <w:name w:val="WW8Num18z3"/>
    <w:qFormat/>
    <w:rPr>
      <w:rFonts w:ascii="Symbol" w:hAnsi="Symbol" w:cs="Symbol"/>
    </w:rPr>
  </w:style>
  <w:style w:type="character" w:styleId="WW8Num19z0">
    <w:name w:val="WW8Num19z0"/>
    <w:qFormat/>
    <w:rPr>
      <w:rFonts w:ascii="Symbol" w:hAnsi="Symbol" w:cs="Symbol"/>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20z0">
    <w:name w:val="WW8Num20z0"/>
    <w:qFormat/>
    <w:rPr>
      <w:rFonts w:ascii="Symbol" w:hAnsi="Symbol" w:cs="Symbol"/>
      <w:color w:val="000000"/>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0z3">
    <w:name w:val="WW8Num20z3"/>
    <w:qFormat/>
    <w:rPr>
      <w:rFonts w:ascii="Symbol" w:hAnsi="Symbol" w:cs="Symbol"/>
    </w:rPr>
  </w:style>
  <w:style w:type="character" w:styleId="WW8Num21z0">
    <w:name w:val="WW8Num21z0"/>
    <w:qFormat/>
    <w:rPr>
      <w:rFonts w:ascii="Symbol" w:hAnsi="Symbol" w:cs="Symbol"/>
      <w:color w:val="000000"/>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WW8Num21z3">
    <w:name w:val="WW8Num21z3"/>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autoSpaceDE w:val="false"/>
      <w:spacing w:lineRule="atLeast" w:line="240"/>
      <w:ind w:hanging="0" w:start="360" w:end="0"/>
    </w:pPr>
    <w:rPr>
      <w:rFonts w:ascii="Helv;Arial" w:hAnsi="Helv;Arial" w:cs="Helv;Arial"/>
      <w:color w:val="000000"/>
      <w:sz w:val="20"/>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268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2000-09-13T20:26:00Z</dcterms:created>
  <dc:creator>jdasovic</dc:creator>
  <dc:description/>
  <dc:language>en-CA</dc:language>
  <cp:lastModifiedBy>jdasovic</cp:lastModifiedBy>
  <cp:lastPrinted>2000-09-13T22:02:00Z</cp:lastPrinted>
  <dcterms:modified xsi:type="dcterms:W3CDTF">2000-09-14T00:55:00Z</dcterms:modified>
  <cp:revision>21</cp:revision>
  <dc:subject/>
  <dc:title>Steve Kean participated at Mr</dc:title>
</cp:coreProperties>
</file>