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s>
        <w:rPr/>
      </w:pPr>
      <w:r>
        <w:rPr/>
        <w:t>RTO West Stage 2 Development Process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jc w:val="center"/>
        <w:rPr>
          <w:b/>
          <w:bCs/>
        </w:rPr>
      </w:pPr>
      <w:r>
        <w:rPr>
          <w:b/>
          <w:bCs/>
        </w:rPr>
        <w:t>Provisions and Requirements Content Group</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jc w:val="center"/>
        <w:rPr>
          <w:b/>
          <w:bCs/>
        </w:rPr>
      </w:pPr>
      <w:r>
        <w:rPr>
          <w:b/>
          <w:bCs/>
        </w:rPr>
        <w:t>GIA Exemption Small Group</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jc w:val="center"/>
        <w:rPr>
          <w:b/>
          <w:bCs/>
        </w:rPr>
      </w:pPr>
      <w:r>
        <w:rPr>
          <w:b/>
          <w:b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jc w:val="center"/>
        <w:rPr>
          <w:b/>
          <w:bCs/>
        </w:rPr>
      </w:pPr>
      <w:r>
        <w:rPr>
          <w:b/>
          <w:bCs/>
        </w:rPr>
        <w:t>March 7, 2001 Conference Call</w:t>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s>
        <w:ind w:hanging="0" w:start="0"/>
        <w:rPr/>
      </w:pPr>
      <w:r>
        <w:rPr/>
        <w:t>Recommendations and Assignments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jc w:val="center"/>
        <w:rPr>
          <w:b/>
          <w:bCs/>
        </w:rPr>
      </w:pPr>
      <w:r>
        <w:rPr>
          <w:b/>
          <w:b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b/>
          <w:bCs/>
        </w:rPr>
      </w:pPr>
      <w:r>
        <w:rPr>
          <w:b/>
          <w:b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b/>
          <w:bCs/>
        </w:rPr>
      </w:pPr>
      <w:r>
        <w:rPr>
          <w:b/>
          <w:b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u w:val="single"/>
        </w:rPr>
        <w:t>Participants</w:t>
      </w:r>
      <w:r>
        <w:rPr/>
        <w:t>:  Tom Kingston (PGE), Dick Spence (BPA), Steve Larson (BPA), Kristi Wallis (Coordinating Team)</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u w:val="single"/>
        </w:rPr>
        <w:t>Nature of Exemptions</w:t>
      </w:r>
      <w:r>
        <w:rPr/>
        <w:t>:</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Normal"/>
        <w:numPr>
          <w:ilvl w:val="0"/>
          <w:numId w:val="2"/>
        </w:numPr>
        <w:tabs>
          <w:tab w:val="left" w:pos="360" w:leader="none"/>
          <w:tab w:val="left" w:pos="720" w:leader="none"/>
          <w:tab w:val="left" w:pos="1080" w:leader="none"/>
          <w:tab w:val="left" w:pos="1440" w:leader="none"/>
          <w:tab w:val="left" w:pos="1800" w:leader="none"/>
          <w:tab w:val="left" w:pos="2160" w:leader="none"/>
          <w:tab w:val="left" w:pos="2520" w:leader="none"/>
        </w:tabs>
        <w:rPr/>
      </w:pPr>
      <w:r>
        <w:rPr/>
        <w:t>Whether certain generation should be exempted from signing a GIA; and</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Normal"/>
        <w:numPr>
          <w:ilvl w:val="0"/>
          <w:numId w:val="2"/>
        </w:numPr>
        <w:tabs>
          <w:tab w:val="left" w:pos="360" w:leader="none"/>
          <w:tab w:val="left" w:pos="720" w:leader="none"/>
          <w:tab w:val="left" w:pos="1080" w:leader="none"/>
          <w:tab w:val="left" w:pos="1440" w:leader="none"/>
          <w:tab w:val="left" w:pos="1800" w:leader="none"/>
          <w:tab w:val="left" w:pos="2160" w:leader="none"/>
          <w:tab w:val="left" w:pos="2520" w:leader="none"/>
        </w:tabs>
        <w:rPr/>
      </w:pPr>
      <w:r>
        <w:rPr/>
        <w:t>Whether certain generation should be exempted from application of RTO West interconnection standards.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u w:val="single"/>
        </w:rPr>
        <w:t>Background</w:t>
      </w:r>
      <w:r>
        <w:rPr/>
        <w:t xml:space="preserve">: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t>Significant work was done in Stage 1 with respect to both types of exemptions described above.  (As reflected in the current draft of the GIA and in an e-mail from E. Christianson attached hereto.)  This work was taken as a given during the call, and the participants focused on (1) whether there should be a permanent exemption from RTO West interconnection standards, (2) whether there should be a blanket exemption for new, small generators, and (3) whether the requirement to sign a GIA should be extended from generation that is interconnected with the RTO West Controlled Transmission Facilities to generation that is interconnected with the RTO West System.</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s>
        <w:ind w:hanging="0" w:start="0"/>
        <w:rPr>
          <w:b/>
          <w:bCs/>
        </w:rPr>
      </w:pPr>
      <w:r>
        <w:rPr/>
        <w:t>Recommendations/Assignments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b/>
          <w:bCs/>
        </w:rPr>
      </w:pPr>
      <w:r>
        <w:rPr>
          <w:b/>
          <w:b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pPr>
      <w:r>
        <w:rPr/>
        <w:t xml:space="preserve">1.  </w:t>
      </w:r>
      <w:r>
        <w:rPr>
          <w:u w:val="single"/>
        </w:rPr>
        <w:t>Permanent Exemption from RTO West Interconnection Standards?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s>
        <w:rPr>
          <w:u w:val="single"/>
        </w:rPr>
      </w:pPr>
      <w:r>
        <w:rPr>
          <w:u w:val="single"/>
        </w:rPr>
      </w:r>
    </w:p>
    <w:p>
      <w:pPr>
        <w:pStyle w:val="BodyTextIndent"/>
        <w:ind w:start="0" w:end="0"/>
        <w:rPr/>
      </w:pPr>
      <w:r>
        <w:rPr/>
        <w:tab/>
        <w:t>Recommendations:</w:t>
      </w:r>
    </w:p>
    <w:p>
      <w:pPr>
        <w:pStyle w:val="BodyTextIndent"/>
        <w:rPr/>
      </w:pPr>
      <w:r>
        <w:rPr/>
      </w:r>
    </w:p>
    <w:p>
      <w:pPr>
        <w:pStyle w:val="BodyTextIndent"/>
        <w:rPr/>
      </w:pPr>
      <w:r>
        <w:rPr/>
        <w:t>The RTO West interconnection standards regarding testing/model validation, metering, power system stability, scheduling, should not be any more onerous than the WSCC requirements, and the RTO West standards should distinguish between sizes of generators.</w:t>
      </w:r>
    </w:p>
    <w:p>
      <w:pPr>
        <w:pStyle w:val="BodyTextIndent"/>
        <w:rPr/>
      </w:pPr>
      <w:r>
        <w:rPr/>
      </w:r>
    </w:p>
    <w:p>
      <w:pPr>
        <w:pStyle w:val="BodyTextIndent"/>
        <w:rPr/>
      </w:pPr>
      <w:r>
        <w:rPr/>
        <w:t>The application of a permanent exemption from RTO West interconnection standards should be limited to old generation;</w:t>
      </w:r>
    </w:p>
    <w:p>
      <w:pPr>
        <w:pStyle w:val="BodyTextIndent"/>
        <w:rPr/>
      </w:pPr>
      <w:r>
        <w:rPr/>
      </w:r>
    </w:p>
    <w:p>
      <w:pPr>
        <w:pStyle w:val="BodyTextIndent"/>
        <w:rPr/>
      </w:pPr>
      <w:r>
        <w:rPr/>
        <w:t>There should not be a blanket exemption, but a process should be developed through which an existing generator could request an exemption from the RTO West interconnection standards and RTO West would make a decision based upon objective criteria;</w:t>
      </w:r>
    </w:p>
    <w:p>
      <w:pPr>
        <w:pStyle w:val="BodyTextIndent"/>
        <w:rPr/>
      </w:pPr>
      <w:r>
        <w:rPr/>
      </w:r>
    </w:p>
    <w:p>
      <w:pPr>
        <w:pStyle w:val="BodyTextIndent"/>
        <w:ind w:start="720" w:end="0"/>
        <w:rPr/>
      </w:pPr>
      <w:r>
        <w:rPr/>
        <w:t>This process should consider the impact that the generator has on the RTO West System, including quantifying or evaluating the level of impact (</w:t>
      </w:r>
      <w:r>
        <w:rPr>
          <w:u w:val="single"/>
        </w:rPr>
        <w:t>e.g.</w:t>
      </w:r>
      <w:r>
        <w:rPr/>
        <w:t>, what is an insignificant impact?  How to factor in unit size, unit output, cumulative effect?);</w:t>
      </w:r>
    </w:p>
    <w:p>
      <w:pPr>
        <w:pStyle w:val="BodyTextIndent"/>
        <w:rPr/>
      </w:pPr>
      <w:r>
        <w:rPr/>
      </w:r>
    </w:p>
    <w:p>
      <w:pPr>
        <w:pStyle w:val="BodyTextIndent"/>
        <w:ind w:start="1080" w:end="0"/>
        <w:rPr/>
      </w:pPr>
      <w:r>
        <w:rPr/>
        <w:t xml:space="preserve">Old plants with an insignificant impact on the RTO West System could be relieved from some of the RTO West interconnection requirements (could include testing/model validation, scheduling, etc.);  </w:t>
      </w:r>
    </w:p>
    <w:p>
      <w:pPr>
        <w:pStyle w:val="BodyTextIndent"/>
        <w:ind w:start="720" w:end="0"/>
        <w:rPr/>
      </w:pPr>
      <w:r>
        <w:rPr/>
      </w:r>
    </w:p>
    <w:p>
      <w:pPr>
        <w:pStyle w:val="BodyTextIndent"/>
        <w:ind w:start="1080" w:end="0"/>
        <w:rPr/>
      </w:pPr>
      <w:r>
        <w:rPr/>
        <w:t>If granted, the “grandfathering” would not necessarily apply to all of the interconnection requirements, but to ones that the generator has demonstrated should not apply.</w:t>
      </w:r>
    </w:p>
    <w:p>
      <w:pPr>
        <w:pStyle w:val="BodyTextIndent"/>
        <w:ind w:start="1080" w:end="0"/>
        <w:rPr/>
      </w:pPr>
      <w:r>
        <w:rPr/>
      </w:r>
    </w:p>
    <w:p>
      <w:pPr>
        <w:pStyle w:val="BodyTextIndent"/>
        <w:ind w:start="720" w:end="0"/>
        <w:rPr/>
      </w:pPr>
      <w:r>
        <w:rPr/>
        <w:t>Assignments:</w:t>
      </w:r>
    </w:p>
    <w:p>
      <w:pPr>
        <w:pStyle w:val="BodyTextIndent"/>
        <w:ind w:start="720" w:end="0"/>
        <w:rPr/>
      </w:pPr>
      <w:r>
        <w:rPr/>
      </w:r>
    </w:p>
    <w:p>
      <w:pPr>
        <w:pStyle w:val="BodyTextIndent"/>
        <w:ind w:start="720" w:end="0"/>
        <w:rPr/>
      </w:pPr>
      <w:r>
        <w:rPr/>
        <w:t>After PGE has completed more internal work, Tom Kingston will flesh out the above recommendations, in particular with respect to how to (1) evaluate a generator’s impact, (2) define what is significant (for purposes of evaluating impacts), and (3) identify those requirements that should not necessarily apply to an old project (</w:t>
      </w:r>
      <w:r>
        <w:rPr>
          <w:u w:val="single"/>
        </w:rPr>
        <w:t>e.g.</w:t>
      </w:r>
      <w:r>
        <w:rPr/>
        <w:t>, testing.)</w:t>
      </w:r>
    </w:p>
    <w:p>
      <w:pPr>
        <w:pStyle w:val="BodyTextIndent"/>
        <w:ind w:start="720" w:end="0"/>
        <w:rPr/>
      </w:pPr>
      <w:r>
        <w:rPr/>
      </w:r>
    </w:p>
    <w:p>
      <w:pPr>
        <w:pStyle w:val="BodyTextIndent"/>
        <w:ind w:start="0" w:end="0"/>
        <w:rPr/>
      </w:pPr>
      <w:r>
        <w:rPr/>
        <w:t>2.</w:t>
        <w:tab/>
      </w:r>
      <w:r>
        <w:rPr>
          <w:u w:val="single"/>
        </w:rPr>
        <w:t>Blanket Exemption for Small Generators</w:t>
      </w:r>
    </w:p>
    <w:p>
      <w:pPr>
        <w:pStyle w:val="BodyTextIndent"/>
        <w:ind w:start="0" w:end="0"/>
        <w:rPr>
          <w:u w:val="single"/>
        </w:rPr>
      </w:pPr>
      <w:r>
        <w:rPr>
          <w:u w:val="single"/>
        </w:rPr>
      </w:r>
    </w:p>
    <w:p>
      <w:pPr>
        <w:pStyle w:val="BodyTextIndent"/>
        <w:rPr/>
      </w:pPr>
      <w:r>
        <w:rPr>
          <w:u w:val="single"/>
        </w:rPr>
        <w:t>Recommendations</w:t>
      </w:r>
      <w:r>
        <w:rPr/>
        <w:t>:</w:t>
      </w:r>
    </w:p>
    <w:p>
      <w:pPr>
        <w:pStyle w:val="BodyTextIndent"/>
        <w:rPr/>
      </w:pPr>
      <w:r>
        <w:rPr/>
      </w:r>
    </w:p>
    <w:p>
      <w:pPr>
        <w:pStyle w:val="BodyTextIndent"/>
        <w:rPr/>
      </w:pPr>
      <w:r>
        <w:rPr/>
        <w:t xml:space="preserve">There should be a blanket exemption for small </w:t>
      </w:r>
      <w:r>
        <w:rPr>
          <w:i/>
          <w:iCs/>
        </w:rPr>
        <w:t xml:space="preserve">new </w:t>
      </w:r>
      <w:r>
        <w:rPr/>
        <w:t xml:space="preserve">generation (small generators should not be priced out of the market), although there is not specific recommendation at this time. </w:t>
      </w:r>
    </w:p>
    <w:p>
      <w:pPr>
        <w:pStyle w:val="BodyTextIndent"/>
        <w:rPr/>
      </w:pPr>
      <w:r>
        <w:rPr/>
      </w:r>
    </w:p>
    <w:p>
      <w:pPr>
        <w:pStyle w:val="BodyTextIndent"/>
        <w:rPr/>
      </w:pPr>
      <w:r>
        <w:rPr/>
        <w:t xml:space="preserve">When developing the exemption, the PRRQ should take into account the size of the generator, the output of the generator, cumulative effect of proposed units, integrated voltage level, RMS minimum thresholds.  </w:t>
      </w:r>
    </w:p>
    <w:p>
      <w:pPr>
        <w:pStyle w:val="BodyTextIndent"/>
        <w:rPr/>
      </w:pPr>
      <w:r>
        <w:rPr/>
      </w:r>
    </w:p>
    <w:p>
      <w:pPr>
        <w:pStyle w:val="BodyTextIndent"/>
        <w:rPr/>
      </w:pPr>
      <w:r>
        <w:rPr>
          <w:u w:val="single"/>
        </w:rPr>
        <w:t>Assignments</w:t>
      </w:r>
      <w:r>
        <w:rPr/>
        <w:t>:</w:t>
      </w:r>
    </w:p>
    <w:p>
      <w:pPr>
        <w:pStyle w:val="BodyTextIndent"/>
        <w:rPr/>
      </w:pPr>
      <w:r>
        <w:rPr/>
      </w:r>
    </w:p>
    <w:p>
      <w:pPr>
        <w:pStyle w:val="BodyTextIndent"/>
        <w:rPr/>
      </w:pPr>
      <w:r>
        <w:rPr/>
        <w:t>Steve Larson is pulling together the RMS minimum thresholds; Dick Spence (with assistance from Steve Larson) is determining how other RTOs/ISOs (in particular Alliance and CA ISO) handle this issue.</w:t>
      </w:r>
    </w:p>
    <w:p>
      <w:pPr>
        <w:pStyle w:val="BodyTextIndent"/>
        <w:rPr/>
      </w:pPr>
      <w:r>
        <w:rPr/>
      </w:r>
    </w:p>
    <w:p>
      <w:pPr>
        <w:pStyle w:val="BodyTextIndent"/>
        <w:ind w:hanging="360" w:end="0"/>
        <w:rPr/>
      </w:pPr>
      <w:r>
        <w:rPr/>
        <w:t>3.</w:t>
        <w:tab/>
      </w:r>
      <w:r>
        <w:rPr>
          <w:u w:val="single"/>
        </w:rPr>
        <w:t>Extending the Requirement of a GIA to Generation Interconnecting with the RTO West System</w:t>
      </w:r>
    </w:p>
    <w:p>
      <w:pPr>
        <w:pStyle w:val="BodyTextIndent"/>
        <w:ind w:start="0" w:end="0"/>
        <w:rPr/>
      </w:pPr>
      <w:r>
        <w:rPr/>
      </w:r>
    </w:p>
    <w:p>
      <w:pPr>
        <w:pStyle w:val="BodyTextIndent"/>
        <w:rPr/>
      </w:pPr>
      <w:r>
        <w:rPr/>
        <w:t>Although there is not yet a recommendation regarding this issue, the issue of whether resources that are interconnected with the RTO West System (rather than RTO West Controlled Facilities) should be required to sign a GIA (and be subject to RTO integration requirements (but not necessarily interconnection standards).  This made sense to a number of participants.</w:t>
      </w:r>
    </w:p>
    <w:p>
      <w:pPr>
        <w:pStyle w:val="BodyTextIndent"/>
        <w:rPr/>
      </w:pPr>
      <w:r>
        <w:rPr/>
      </w:r>
    </w:p>
    <w:p>
      <w:pPr>
        <w:pStyle w:val="BodyTextIndent"/>
        <w:rPr/>
      </w:pPr>
      <w:r>
        <w:rPr/>
      </w:r>
    </w:p>
    <w:p>
      <w:pPr>
        <w:pStyle w:val="BodyTextIndent"/>
        <w:rPr/>
      </w:pPr>
      <w:r>
        <w:rPr/>
      </w:r>
    </w:p>
    <w:p>
      <w:pPr>
        <w:pStyle w:val="BodyTextIndent"/>
        <w:ind w:start="0" w:end="0"/>
        <w:rPr/>
      </w:pPr>
      <w:r>
        <w:rPr/>
      </w:r>
    </w:p>
    <w:p>
      <w:pPr>
        <w:pStyle w:val="BodyTextIndent"/>
        <w:ind w:start="0" w:end="0"/>
        <w:rPr/>
      </w:pPr>
      <w:r>
        <w:rPr/>
      </w:r>
    </w:p>
    <w:p>
      <w:pPr>
        <w:pStyle w:val="BodyTextIndent"/>
        <w:jc w:val="center"/>
        <w:rPr/>
      </w:pPr>
      <w:r>
        <w:rPr/>
      </w:r>
      <w:r>
        <w:br w:type="page"/>
      </w:r>
    </w:p>
    <w:p>
      <w:pPr>
        <w:pStyle w:val="BodyTextIndent"/>
        <w:ind w:start="0" w:end="0"/>
        <w:rPr/>
      </w:pPr>
      <w:r>
        <w:rPr/>
      </w:r>
    </w:p>
    <w:p>
      <w:pPr>
        <w:pStyle w:val="BodyTextIndent"/>
        <w:ind w:start="0" w:end="0"/>
        <w:rPr/>
      </w:pPr>
      <w:r>
        <w:rPr/>
      </w:r>
    </w:p>
    <w:p>
      <w:pPr>
        <w:pStyle w:val="BodyTextIndent"/>
        <w:ind w:start="0" w:end="0"/>
        <w:jc w:val="center"/>
        <w:rPr>
          <w:b/>
          <w:bCs/>
        </w:rPr>
      </w:pPr>
      <w:r>
        <w:rPr>
          <w:b/>
          <w:bCs/>
        </w:rPr>
        <w:t>Attachment</w:t>
      </w:r>
    </w:p>
    <w:p>
      <w:pPr>
        <w:pStyle w:val="BodyTextIndent"/>
        <w:jc w:val="center"/>
        <w:rPr>
          <w:b/>
          <w:bCs/>
        </w:rPr>
      </w:pPr>
      <w:r>
        <w:rPr>
          <w:b/>
          <w:bCs/>
        </w:rPr>
        <w:t>Christensen E-Mail Regarding Stage 1 Work</w:t>
      </w:r>
    </w:p>
    <w:p>
      <w:pPr>
        <w:pStyle w:val="BodyTextIndent"/>
        <w:jc w:val="center"/>
        <w:rPr>
          <w:b/>
          <w:bCs/>
        </w:rPr>
      </w:pPr>
      <w:r>
        <w:rPr>
          <w:b/>
          <w:bCs/>
        </w:rPr>
      </w:r>
    </w:p>
    <w:p>
      <w:pPr>
        <w:pStyle w:val="BodyTextIndent"/>
        <w:jc w:val="center"/>
        <w:rPr>
          <w:b/>
          <w:bCs/>
        </w:rPr>
      </w:pPr>
      <w:r>
        <w:rPr>
          <w:b/>
          <w:bCs/>
        </w:rPr>
      </w:r>
    </w:p>
    <w:p>
      <w:pPr>
        <w:pStyle w:val="BodyTextIndent"/>
        <w:jc w:val="center"/>
        <w:rPr>
          <w:b/>
          <w:bCs/>
        </w:rPr>
      </w:pPr>
      <w:r>
        <w:rPr>
          <w:b/>
          <w:bCs/>
        </w:rPr>
      </w:r>
    </w:p>
    <w:p>
      <w:pPr>
        <w:pStyle w:val="BodyTextIndent"/>
        <w:jc w:val="center"/>
        <w:rPr>
          <w:b/>
          <w:bCs/>
        </w:rPr>
      </w:pPr>
      <w:r>
        <w:rPr>
          <w:b/>
          <w:bCs/>
        </w:rPr>
      </w:r>
    </w:p>
    <w:p>
      <w:pPr>
        <w:pStyle w:val="BodyTextIndent"/>
        <w:rPr/>
      </w:pPr>
      <w:r>
        <w:rPr/>
        <w:t>-----Original Message-----</w:t>
      </w:r>
    </w:p>
    <w:p>
      <w:pPr>
        <w:pStyle w:val="BodyTextIndent"/>
        <w:rPr/>
      </w:pPr>
      <w:r>
        <w:rPr/>
        <w:t xml:space="preserve">From:   Christensen, Eric </w:t>
      </w:r>
    </w:p>
    <w:p>
      <w:pPr>
        <w:pStyle w:val="BodyTextIndent"/>
        <w:rPr/>
      </w:pPr>
      <w:r>
        <w:rPr/>
        <w:t>Sent:   Monday, March 05, 2001 4:56 PM</w:t>
      </w:r>
    </w:p>
    <w:p>
      <w:pPr>
        <w:pStyle w:val="BodyTextIndent"/>
        <w:rPr/>
      </w:pPr>
      <w:r>
        <w:rPr/>
        <w:t>To:     'kristiwallis@sprintmail.com'</w:t>
      </w:r>
    </w:p>
    <w:p>
      <w:pPr>
        <w:pStyle w:val="BodyTextIndent"/>
        <w:rPr/>
      </w:pPr>
      <w:r>
        <w:rPr/>
        <w:t>Subject:        RE: RTO West/PRRQ -- Follow Up to 2/27 PRRQ Meeting</w:t>
      </w:r>
    </w:p>
    <w:p>
      <w:pPr>
        <w:pStyle w:val="BodyTextIndent"/>
        <w:rPr/>
      </w:pPr>
      <w:r>
        <w:rPr/>
      </w:r>
    </w:p>
    <w:p>
      <w:pPr>
        <w:pStyle w:val="BodyTextIndent"/>
        <w:rPr/>
      </w:pPr>
      <w:r>
        <w:rPr/>
        <w:t>Kristi:</w:t>
      </w:r>
    </w:p>
    <w:p>
      <w:pPr>
        <w:pStyle w:val="BodyTextIndent"/>
        <w:rPr/>
      </w:pPr>
      <w:r>
        <w:rPr/>
        <w:t>One thought for you ought to pass on to the small group discussion</w:t>
      </w:r>
    </w:p>
    <w:p>
      <w:pPr>
        <w:pStyle w:val="BodyTextIndent"/>
        <w:rPr/>
      </w:pPr>
      <w:r>
        <w:rPr/>
        <w:t>exemptions for the GIA tomorrow:  most of the RTO West states now have net</w:t>
      </w:r>
    </w:p>
    <w:p>
      <w:pPr>
        <w:pStyle w:val="BodyTextIndent"/>
        <w:rPr/>
      </w:pPr>
      <w:r>
        <w:rPr/>
        <w:t>metering laws that require utilities to hook up small generators and to</w:t>
      </w:r>
    </w:p>
    <w:p>
      <w:pPr>
        <w:pStyle w:val="BodyTextIndent"/>
        <w:rPr/>
      </w:pPr>
      <w:r>
        <w:rPr/>
        <w:t>credit the generators for whatever power flows back onto the grid.  The net</w:t>
      </w:r>
    </w:p>
    <w:p>
      <w:pPr>
        <w:pStyle w:val="BodyTextIndent"/>
        <w:rPr/>
      </w:pPr>
      <w:r>
        <w:rPr/>
        <w:t>metering statutes generally prescribe how the small generator is to be</w:t>
      </w:r>
    </w:p>
    <w:p>
      <w:pPr>
        <w:pStyle w:val="BodyTextIndent"/>
        <w:rPr/>
      </w:pPr>
      <w:r>
        <w:rPr/>
        <w:t>metered, how it is to be interconnected, etc.  Hence, the GIA ought to</w:t>
      </w:r>
    </w:p>
    <w:p>
      <w:pPr>
        <w:pStyle w:val="BodyTextIndent"/>
        <w:rPr/>
      </w:pPr>
      <w:r>
        <w:rPr/>
        <w:t>include an exemption covering these interconnections.  Only very small</w:t>
      </w:r>
    </w:p>
    <w:p>
      <w:pPr>
        <w:pStyle w:val="BodyTextIndent"/>
        <w:rPr/>
      </w:pPr>
      <w:r>
        <w:rPr/>
        <w:t>generators (Washington's statute covers generators with a nameplate capacity</w:t>
      </w:r>
    </w:p>
    <w:p>
      <w:pPr>
        <w:pStyle w:val="BodyTextIndent"/>
        <w:rPr/>
      </w:pPr>
      <w:r>
        <w:rPr/>
        <w:t>of 25 kW or less) are involved, so they don't generate enough power to be of</w:t>
      </w:r>
    </w:p>
    <w:p>
      <w:pPr>
        <w:pStyle w:val="BodyTextIndent"/>
        <w:rPr/>
      </w:pPr>
      <w:r>
        <w:rPr/>
        <w:t>interest to the RTO in any event.  If pressed, I can probably pull out the</w:t>
      </w:r>
    </w:p>
    <w:p>
      <w:pPr>
        <w:pStyle w:val="BodyTextIndent"/>
        <w:rPr/>
      </w:pPr>
      <w:r>
        <w:rPr/>
        <w:t>legal research I did on this issue for Stage 1.   Let me know if you have</w:t>
      </w:r>
    </w:p>
    <w:p>
      <w:pPr>
        <w:pStyle w:val="BodyTextIndent"/>
        <w:rPr/>
      </w:pPr>
      <w:r>
        <w:rPr/>
        <w:t>any questions.</w:t>
      </w:r>
    </w:p>
    <w:p>
      <w:pPr>
        <w:pStyle w:val="BodyTextIndent"/>
        <w:rPr/>
      </w:pPr>
      <w:r>
        <w:rPr/>
        <w:t>Eric Christensen</w:t>
      </w:r>
    </w:p>
    <w:p>
      <w:pPr>
        <w:pStyle w:val="BodyTextIndent"/>
        <w:rPr/>
      </w:pPr>
      <w:r>
        <w:rPr/>
        <w:t>Associate General Counsel</w:t>
      </w:r>
    </w:p>
    <w:p>
      <w:pPr>
        <w:pStyle w:val="BodyTextIndent"/>
        <w:rPr/>
      </w:pPr>
      <w:r>
        <w:rPr/>
        <w:t>Snohomish County PUD No. 1</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360" w:leader="none"/>
        <w:tab w:val="left" w:pos="720" w:leader="none"/>
        <w:tab w:val="left" w:pos="1080" w:leader="none"/>
        <w:tab w:val="left" w:pos="1440" w:leader="none"/>
        <w:tab w:val="left" w:pos="1800" w:leader="none"/>
        <w:tab w:val="left" w:pos="2160" w:leader="none"/>
        <w:tab w:val="left" w:pos="2520" w:leader="none"/>
      </w:tabs>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2001-03-06T15:41:00Z</dcterms:created>
  <dc:creator>Kristi M. Wallis</dc:creator>
  <dc:description/>
  <dc:language>en-CA</dc:language>
  <cp:lastModifiedBy>Kristi M. Wallis</cp:lastModifiedBy>
  <cp:lastPrinted>2001-03-06T11:06:00Z</cp:lastPrinted>
  <dcterms:modified xsi:type="dcterms:W3CDTF">2001-03-20T02:56:00Z</dcterms:modified>
  <cp:revision>5</cp:revision>
  <dc:subject/>
  <dc:title/>
</cp:coreProperties>
</file>