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168" w:leader="none"/>
          <w:tab w:val="left" w:pos="6048" w:leader="none"/>
          <w:tab w:val="left" w:pos="10080" w:leader="none"/>
          <w:tab w:val="left" w:pos="13608" w:leader="none"/>
        </w:tabs>
        <w:rPr>
          <w:b/>
          <w:bCs/>
          <w:sz w:val="26"/>
        </w:rPr>
      </w:pPr>
      <w:r>
        <w:rPr>
          <w:b/>
          <w:bCs/>
          <w:sz w:val="26"/>
        </w:rPr>
        <w:t>Summary of Comments on El Paso Proposal</w:t>
      </w:r>
    </w:p>
    <w:p>
      <w:pPr>
        <w:pStyle w:val="Normal"/>
        <w:tabs>
          <w:tab w:val="clear" w:pos="720"/>
          <w:tab w:val="left" w:pos="3168" w:leader="none"/>
          <w:tab w:val="left" w:pos="10080" w:leader="none"/>
          <w:tab w:val="left" w:pos="13608" w:leader="none"/>
        </w:tabs>
        <w:rPr>
          <w:b/>
          <w:bCs/>
          <w:sz w:val="26"/>
        </w:rPr>
      </w:pPr>
      <w:r>
        <w:rPr>
          <w:b/>
          <w:bCs/>
          <w:sz w:val="26"/>
        </w:rPr>
        <w:t>for System-Wide Reallocation of Receipt Points</w:t>
        <w:tab/>
        <w:t>Docket No. RP00-336-002</w:t>
      </w:r>
    </w:p>
    <w:tbl>
      <w:tblPr>
        <w:tblW w:w="13608" w:type="dxa"/>
        <w:jc w:val="start"/>
        <w:tblInd w:w="0" w:type="dxa"/>
        <w:tblLayout w:type="fixed"/>
        <w:tblCellMar>
          <w:top w:w="0" w:type="dxa"/>
          <w:start w:w="108" w:type="dxa"/>
          <w:bottom w:w="0" w:type="dxa"/>
          <w:end w:w="108" w:type="dxa"/>
        </w:tblCellMar>
      </w:tblPr>
      <w:tblGrid>
        <w:gridCol w:w="3168"/>
        <w:gridCol w:w="2880"/>
        <w:gridCol w:w="7560"/>
      </w:tblGrid>
      <w:tr>
        <w:trPr>
          <w:tblHeader w:val="true"/>
        </w:trPr>
        <w:tc>
          <w:tcPr>
            <w:tcW w:w="3168" w:type="dxa"/>
            <w:tcBorders>
              <w:top w:val="single" w:sz="4" w:space="0" w:color="000000"/>
              <w:start w:val="single" w:sz="4" w:space="0" w:color="000000"/>
              <w:bottom w:val="single" w:sz="4" w:space="0" w:color="000000"/>
              <w:end w:val="single" w:sz="4" w:space="0" w:color="000000"/>
            </w:tcBorders>
            <w:shd w:fill="C0C0C0" w:val="clear"/>
          </w:tcPr>
          <w:p>
            <w:pPr>
              <w:pStyle w:val="Normal"/>
              <w:spacing w:before="120" w:after="120"/>
              <w:jc w:val="center"/>
              <w:rPr>
                <w:b/>
                <w:bCs/>
                <w:sz w:val="26"/>
              </w:rPr>
            </w:pPr>
            <w:r>
              <w:rPr>
                <w:b/>
                <w:bCs/>
                <w:sz w:val="26"/>
              </w:rPr>
              <w:t>Party</w:t>
            </w:r>
          </w:p>
        </w:tc>
        <w:tc>
          <w:tcPr>
            <w:tcW w:w="2880" w:type="dxa"/>
            <w:tcBorders>
              <w:top w:val="single" w:sz="4" w:space="0" w:color="000000"/>
              <w:start w:val="single" w:sz="4" w:space="0" w:color="000000"/>
              <w:bottom w:val="single" w:sz="4" w:space="0" w:color="000000"/>
              <w:end w:val="single" w:sz="4" w:space="0" w:color="000000"/>
            </w:tcBorders>
            <w:shd w:fill="C0C0C0" w:val="clear"/>
          </w:tcPr>
          <w:p>
            <w:pPr>
              <w:pStyle w:val="Normal"/>
              <w:spacing w:before="120" w:after="120"/>
              <w:jc w:val="center"/>
              <w:rPr>
                <w:b/>
                <w:bCs/>
                <w:sz w:val="26"/>
              </w:rPr>
            </w:pPr>
            <w:r>
              <w:rPr>
                <w:b/>
                <w:bCs/>
                <w:sz w:val="26"/>
              </w:rPr>
              <w:t>Position</w:t>
            </w:r>
          </w:p>
        </w:tc>
        <w:tc>
          <w:tcPr>
            <w:tcW w:w="7560" w:type="dxa"/>
            <w:tcBorders>
              <w:top w:val="single" w:sz="4" w:space="0" w:color="000000"/>
              <w:start w:val="single" w:sz="4" w:space="0" w:color="000000"/>
              <w:bottom w:val="single" w:sz="4" w:space="0" w:color="000000"/>
              <w:end w:val="single" w:sz="4" w:space="0" w:color="000000"/>
            </w:tcBorders>
            <w:shd w:fill="C0C0C0" w:val="clear"/>
          </w:tcPr>
          <w:p>
            <w:pPr>
              <w:pStyle w:val="Normal"/>
              <w:spacing w:before="120" w:after="120"/>
              <w:jc w:val="center"/>
              <w:rPr>
                <w:b/>
                <w:bCs/>
                <w:sz w:val="26"/>
              </w:rPr>
            </w:pPr>
            <w:r>
              <w:rPr>
                <w:b/>
                <w:bCs/>
                <w:sz w:val="26"/>
              </w:rPr>
              <w:t>Issues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Aquila Energy Marketing Corporation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and Request for Technical Conference</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Supports efforts to revise El Paso’s receipt point allocation methodology to bring more certainty and predictability to the schedule process</w:t>
            </w:r>
          </w:p>
          <w:p>
            <w:pPr>
              <w:pStyle w:val="Normal"/>
              <w:numPr>
                <w:ilvl w:val="0"/>
                <w:numId w:val="1"/>
              </w:numPr>
              <w:tabs>
                <w:tab w:val="clear" w:pos="720"/>
              </w:tabs>
              <w:ind w:hanging="144" w:start="72" w:end="0"/>
              <w:rPr/>
            </w:pPr>
            <w:r>
              <w:rPr/>
              <w:t>El Paso has failed to justify or support the increase in number of pooling areas</w:t>
            </w:r>
          </w:p>
          <w:p>
            <w:pPr>
              <w:pStyle w:val="Normal"/>
              <w:numPr>
                <w:ilvl w:val="0"/>
                <w:numId w:val="1"/>
              </w:numPr>
              <w:tabs>
                <w:tab w:val="clear" w:pos="720"/>
              </w:tabs>
              <w:ind w:hanging="144" w:start="72" w:end="0"/>
              <w:rPr/>
            </w:pPr>
            <w:r>
              <w:rPr/>
              <w:t>It is wholly inadequate to provide information regarding the new pools as part of the implementation of the allocation process – it should be provided at the outset</w:t>
            </w:r>
          </w:p>
          <w:p>
            <w:pPr>
              <w:pStyle w:val="Normal"/>
              <w:numPr>
                <w:ilvl w:val="0"/>
                <w:numId w:val="1"/>
              </w:numPr>
              <w:tabs>
                <w:tab w:val="clear" w:pos="720"/>
              </w:tabs>
              <w:ind w:hanging="144" w:start="72" w:end="0"/>
              <w:rPr/>
            </w:pPr>
            <w:r>
              <w:rPr/>
              <w:t>It is not possible to evaluate the fairness or reasonableness of the proposal until El Paso provides details on the mechanics of the election process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Arizona Corporation Commission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Supports EOC comments.</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El Paso’s proposal is seriously flawed, violates the 1996 Settlement Agreement, inequitably reduces existing contract rights of full requirements customers, and does not address the problem of insufficient capacity on El Paso’s system</w:t>
            </w:r>
          </w:p>
          <w:p>
            <w:pPr>
              <w:pStyle w:val="Normal"/>
              <w:numPr>
                <w:ilvl w:val="0"/>
                <w:numId w:val="1"/>
              </w:numPr>
              <w:tabs>
                <w:tab w:val="clear" w:pos="720"/>
              </w:tabs>
              <w:ind w:hanging="144" w:start="72" w:end="0"/>
              <w:rPr/>
            </w:pPr>
            <w:r>
              <w:rPr/>
              <w:t>It appears that El Paso is trying to avoid investing in additional capacity to serve existing shippers’ contract rights by reducing their contract rights to alleviate system congestion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Arizona Public Service Company and Pinnacle West Energy Corporation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in opposition</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Any change in the existing allocation methodology that limits captive full requirements shipper entitlements will pose serious operational, environmental and financial harm in Arizona</w:t>
            </w:r>
          </w:p>
          <w:p>
            <w:pPr>
              <w:pStyle w:val="Normal"/>
              <w:numPr>
                <w:ilvl w:val="0"/>
                <w:numId w:val="1"/>
              </w:numPr>
              <w:tabs>
                <w:tab w:val="clear" w:pos="720"/>
              </w:tabs>
              <w:ind w:hanging="144" w:start="72" w:end="0"/>
              <w:rPr/>
            </w:pPr>
            <w:r>
              <w:rPr/>
              <w:t>Any reduction in firm transportation capacity will translate directly into a reduction in natural gas fired electric generation</w:t>
            </w:r>
          </w:p>
          <w:p>
            <w:pPr>
              <w:pStyle w:val="Normal"/>
              <w:numPr>
                <w:ilvl w:val="0"/>
                <w:numId w:val="1"/>
              </w:numPr>
              <w:tabs>
                <w:tab w:val="clear" w:pos="720"/>
              </w:tabs>
              <w:ind w:hanging="144" w:start="72" w:end="0"/>
              <w:rPr/>
            </w:pPr>
            <w:r>
              <w:rPr/>
              <w:t>Altering the existing capacity allocation methodology would severely jeopardize current generation expansion plans</w:t>
            </w:r>
          </w:p>
          <w:p>
            <w:pPr>
              <w:pStyle w:val="Normal"/>
              <w:numPr>
                <w:ilvl w:val="0"/>
                <w:numId w:val="1"/>
              </w:numPr>
              <w:tabs>
                <w:tab w:val="clear" w:pos="720"/>
              </w:tabs>
              <w:ind w:hanging="144" w:start="72" w:end="0"/>
              <w:rPr/>
            </w:pPr>
            <w:r>
              <w:rPr/>
              <w:t>Any proposal that limits full requirements shippers to their 1996 Settlement billing determinants is unlawful, preferential, and unduly discriminatory and must be rejected</w:t>
            </w:r>
          </w:p>
          <w:p>
            <w:pPr>
              <w:pStyle w:val="Normal"/>
              <w:numPr>
                <w:ilvl w:val="0"/>
                <w:numId w:val="1"/>
              </w:numPr>
              <w:tabs>
                <w:tab w:val="clear" w:pos="720"/>
              </w:tabs>
              <w:ind w:hanging="144" w:start="72" w:end="0"/>
              <w:rPr/>
            </w:pPr>
            <w:r>
              <w:rPr/>
              <w:t>The proposed capacity allocation methodology would fundamentally alter, and thereby abrogate, the 1996 Settlement and the underlying service contracts</w:t>
            </w:r>
          </w:p>
          <w:p>
            <w:pPr>
              <w:pStyle w:val="Normal"/>
              <w:numPr>
                <w:ilvl w:val="0"/>
                <w:numId w:val="1"/>
              </w:numPr>
              <w:tabs>
                <w:tab w:val="clear" w:pos="720"/>
              </w:tabs>
              <w:ind w:hanging="144" w:start="72" w:end="0"/>
              <w:rPr/>
            </w:pPr>
            <w:r>
              <w:rPr/>
              <w:t>FERC approval could not be based on “generic public interest” but requires a “particularlized” showing of harm which would be mitigated by abrogation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Duke Energy Trading and Marketing, L.L.C.</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Protest</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Full Requirements scheduling priority over CD on alternate receipt/primary delivery point hauls</w:t>
            </w:r>
          </w:p>
          <w:p>
            <w:pPr>
              <w:pStyle w:val="Normal"/>
              <w:numPr>
                <w:ilvl w:val="0"/>
                <w:numId w:val="1"/>
              </w:numPr>
              <w:tabs>
                <w:tab w:val="clear" w:pos="720"/>
              </w:tabs>
              <w:ind w:hanging="144" w:start="72" w:end="0"/>
              <w:rPr/>
            </w:pPr>
            <w:r>
              <w:rPr/>
              <w:t>No pathing – scheduling should be based on the actual location of constraint points</w:t>
            </w:r>
          </w:p>
          <w:p>
            <w:pPr>
              <w:pStyle w:val="Normal"/>
              <w:numPr>
                <w:ilvl w:val="0"/>
                <w:numId w:val="1"/>
              </w:numPr>
              <w:tabs>
                <w:tab w:val="clear" w:pos="720"/>
              </w:tabs>
              <w:ind w:hanging="144" w:start="72" w:end="0"/>
              <w:rPr/>
            </w:pPr>
            <w:r>
              <w:rPr/>
              <w:t>Increase in number of pooling areas</w:t>
            </w:r>
          </w:p>
          <w:p>
            <w:pPr>
              <w:pStyle w:val="Normal"/>
              <w:numPr>
                <w:ilvl w:val="0"/>
                <w:numId w:val="1"/>
              </w:numPr>
              <w:tabs>
                <w:tab w:val="clear" w:pos="720"/>
              </w:tabs>
              <w:ind w:hanging="144" w:start="72" w:end="0"/>
              <w:rPr/>
            </w:pPr>
            <w:r>
              <w:rPr/>
              <w:t>Pools should be defined in tariff</w:t>
            </w:r>
          </w:p>
          <w:p>
            <w:pPr>
              <w:pStyle w:val="Normal"/>
              <w:numPr>
                <w:ilvl w:val="0"/>
                <w:numId w:val="1"/>
              </w:numPr>
              <w:tabs>
                <w:tab w:val="clear" w:pos="720"/>
              </w:tabs>
              <w:ind w:hanging="144" w:start="72" w:end="0"/>
              <w:rPr/>
            </w:pPr>
            <w:r>
              <w:rPr/>
              <w:t>Billing determinants of full requirements customers for allocation of primary point capacity should be based on the 1996 Settlement</w:t>
            </w:r>
          </w:p>
          <w:p>
            <w:pPr>
              <w:pStyle w:val="Normal"/>
              <w:numPr>
                <w:ilvl w:val="0"/>
                <w:numId w:val="1"/>
              </w:numPr>
              <w:tabs>
                <w:tab w:val="clear" w:pos="720"/>
              </w:tabs>
              <w:ind w:hanging="144" w:start="72" w:end="0"/>
              <w:rPr/>
            </w:pPr>
            <w:r>
              <w:rPr/>
              <w:t>Shippers whose receipt point rights are limited to a single basin should not receive a preferential allocation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East of California Shippers</w:t>
            </w:r>
            <w:r>
              <w:rPr>
                <w:rStyle w:val="FootnoteCharacters"/>
                <w:rStyle w:val="FootnoteReference"/>
              </w:rPr>
              <w:footnoteReference w:id="2"/>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in opposition.  FERC should reject the EPNG proposal.</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The fundamental problem is El Paso’s failure to expand its system to meet existing contractual commitments</w:t>
            </w:r>
          </w:p>
          <w:p>
            <w:pPr>
              <w:pStyle w:val="Normal"/>
              <w:numPr>
                <w:ilvl w:val="0"/>
                <w:numId w:val="1"/>
              </w:numPr>
              <w:tabs>
                <w:tab w:val="clear" w:pos="720"/>
              </w:tabs>
              <w:ind w:hanging="144" w:start="72" w:end="0"/>
              <w:rPr/>
            </w:pPr>
            <w:r>
              <w:rPr/>
              <w:t>Pro rata capacity allocation with flexible receipt point rights is necessary to preserve the enforceability of full requirements contracts</w:t>
            </w:r>
          </w:p>
          <w:p>
            <w:pPr>
              <w:pStyle w:val="Normal"/>
              <w:numPr>
                <w:ilvl w:val="0"/>
                <w:numId w:val="1"/>
              </w:numPr>
              <w:tabs>
                <w:tab w:val="clear" w:pos="720"/>
              </w:tabs>
              <w:ind w:hanging="144" w:start="72" w:end="0"/>
              <w:rPr/>
            </w:pPr>
            <w:r>
              <w:rPr/>
              <w:t>The current capacity allocation procedures are a settled matter and a “settled practice within the meaning of the court case involving the PSC of NY v. FERC.</w:t>
            </w:r>
          </w:p>
          <w:p>
            <w:pPr>
              <w:pStyle w:val="Normal"/>
              <w:numPr>
                <w:ilvl w:val="0"/>
                <w:numId w:val="1"/>
              </w:numPr>
              <w:tabs>
                <w:tab w:val="clear" w:pos="720"/>
              </w:tabs>
              <w:ind w:hanging="144" w:start="72" w:end="0"/>
              <w:rPr/>
            </w:pPr>
            <w:r>
              <w:rPr/>
              <w:t>Changing receipt point allocation methodology would violate the 1996 Settlement as well as the RP88-44 Settlement</w:t>
            </w:r>
          </w:p>
          <w:p>
            <w:pPr>
              <w:pStyle w:val="Normal"/>
              <w:numPr>
                <w:ilvl w:val="0"/>
                <w:numId w:val="1"/>
              </w:numPr>
              <w:tabs>
                <w:tab w:val="clear" w:pos="720"/>
              </w:tabs>
              <w:ind w:hanging="144" w:start="72" w:end="0"/>
              <w:rPr/>
            </w:pPr>
            <w:r>
              <w:rPr/>
              <w:t>Full requirements shippers’ billing determinants are less than 84% of their peak day requirements; thus, billing determinants cannot be used to allocate access to the pipeline system</w:t>
            </w:r>
          </w:p>
          <w:p>
            <w:pPr>
              <w:pStyle w:val="Normal"/>
              <w:numPr>
                <w:ilvl w:val="0"/>
                <w:numId w:val="1"/>
              </w:numPr>
              <w:tabs>
                <w:tab w:val="clear" w:pos="720"/>
              </w:tabs>
              <w:ind w:hanging="144" w:start="72" w:end="0"/>
              <w:rPr/>
            </w:pPr>
            <w:r>
              <w:rPr/>
              <w:t>Without expansion, there would not be sufficient secondary capacity to meet the entitlements of the full requirements customers – thus the super-priority for their alternate receipt points above billing determinant levels is an illusion</w:t>
            </w:r>
          </w:p>
          <w:p>
            <w:pPr>
              <w:pStyle w:val="Normal"/>
              <w:numPr>
                <w:ilvl w:val="0"/>
                <w:numId w:val="1"/>
              </w:numPr>
              <w:tabs>
                <w:tab w:val="clear" w:pos="720"/>
              </w:tabs>
              <w:ind w:hanging="144" w:start="72" w:end="0"/>
              <w:rPr/>
            </w:pPr>
            <w:r>
              <w:rPr/>
              <w:t>Under the Mobile-Sierra public interest standard, FERC cannot justify a change in capacity allocation procedures that is inconsistent with existing contractual commitments</w:t>
            </w:r>
          </w:p>
          <w:p>
            <w:pPr>
              <w:pStyle w:val="Normal"/>
              <w:numPr>
                <w:ilvl w:val="0"/>
                <w:numId w:val="1"/>
              </w:numPr>
              <w:tabs>
                <w:tab w:val="clear" w:pos="720"/>
              </w:tabs>
              <w:ind w:hanging="144" w:start="72" w:end="0"/>
              <w:rPr/>
            </w:pPr>
            <w:r>
              <w:rPr/>
              <w:t>El Paso’s proposal is an unlawful abandonment of full requirements service</w:t>
            </w:r>
          </w:p>
          <w:p>
            <w:pPr>
              <w:pStyle w:val="Normal"/>
              <w:numPr>
                <w:ilvl w:val="0"/>
                <w:numId w:val="1"/>
              </w:numPr>
              <w:tabs>
                <w:tab w:val="clear" w:pos="720"/>
              </w:tabs>
              <w:ind w:hanging="144" w:start="72" w:end="0"/>
              <w:rPr/>
            </w:pPr>
            <w:r>
              <w:rPr/>
              <w:t>The proposal should address the ability to move through certain mainline and system constraints, not just allocation of receipt points</w:t>
            </w:r>
          </w:p>
          <w:p>
            <w:pPr>
              <w:pStyle w:val="Normal"/>
              <w:numPr>
                <w:ilvl w:val="0"/>
                <w:numId w:val="1"/>
              </w:numPr>
              <w:tabs>
                <w:tab w:val="clear" w:pos="720"/>
              </w:tabs>
              <w:ind w:hanging="144" w:start="72" w:end="0"/>
              <w:rPr/>
            </w:pPr>
            <w:r>
              <w:rPr/>
              <w:t>Necessary changes to tariff general terms and conditions must be addressed before shippers are asked to make permanent capacity allocation elections</w:t>
            </w:r>
          </w:p>
          <w:p>
            <w:pPr>
              <w:pStyle w:val="Normal"/>
              <w:numPr>
                <w:ilvl w:val="0"/>
                <w:numId w:val="1"/>
              </w:numPr>
              <w:tabs>
                <w:tab w:val="clear" w:pos="720"/>
              </w:tabs>
              <w:ind w:hanging="144" w:start="72" w:end="0"/>
              <w:rPr/>
            </w:pPr>
            <w:r>
              <w:rPr/>
              <w:t>Treatment of Block 1 shippers in the allocation process must be addressed</w:t>
            </w:r>
          </w:p>
          <w:p>
            <w:pPr>
              <w:pStyle w:val="Normal"/>
              <w:numPr>
                <w:ilvl w:val="0"/>
                <w:numId w:val="1"/>
              </w:numPr>
              <w:tabs>
                <w:tab w:val="clear" w:pos="720"/>
              </w:tabs>
              <w:ind w:hanging="144" w:start="72" w:end="0"/>
              <w:rPr/>
            </w:pPr>
            <w:r>
              <w:rPr/>
              <w:t>A round of voluntary trading should be built into the allocation process, as well as a minimum capacity allocation for any one pool</w:t>
            </w:r>
          </w:p>
          <w:p>
            <w:pPr>
              <w:pStyle w:val="Normal"/>
              <w:numPr>
                <w:ilvl w:val="0"/>
                <w:numId w:val="1"/>
              </w:numPr>
              <w:tabs>
                <w:tab w:val="clear" w:pos="720"/>
              </w:tabs>
              <w:ind w:hanging="144" w:start="72" w:end="0"/>
              <w:rPr/>
            </w:pPr>
            <w:r>
              <w:rPr/>
              <w:t>FERC should not issue a final order in this proceeding until findings of fact in RP00-241 can assure that any allocation system adopted here is free of the taint of market manipulation</w:t>
            </w:r>
          </w:p>
          <w:p>
            <w:pPr>
              <w:pStyle w:val="Normal"/>
              <w:numPr>
                <w:ilvl w:val="0"/>
                <w:numId w:val="1"/>
              </w:numPr>
              <w:tabs>
                <w:tab w:val="clear" w:pos="720"/>
              </w:tabs>
              <w:ind w:hanging="144" w:start="72" w:end="0"/>
              <w:rPr/>
            </w:pPr>
            <w:r>
              <w:rPr/>
              <w:t>Accompanying testimony of James A. Doering states, at p. 6, that capacity should be allocated first to those who place the greatest value on it by paying maximum tariff rates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Enron North America Corp.</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Protest, request for clarification, request for technical conference</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Increase in number of pools to 20 is unnecessary and proposal has no details</w:t>
            </w:r>
          </w:p>
          <w:p>
            <w:pPr>
              <w:pStyle w:val="Normal"/>
              <w:numPr>
                <w:ilvl w:val="0"/>
                <w:numId w:val="1"/>
              </w:numPr>
              <w:tabs>
                <w:tab w:val="clear" w:pos="720"/>
              </w:tabs>
              <w:ind w:hanging="144" w:start="72" w:end="0"/>
              <w:rPr/>
            </w:pPr>
            <w:r>
              <w:rPr/>
              <w:t>Clarification requested that replacement shippers will receive a pro rata allocation of the primary capacity at the receipt points that the releasing shipper receives</w:t>
            </w:r>
          </w:p>
          <w:p>
            <w:pPr>
              <w:pStyle w:val="Normal"/>
              <w:numPr>
                <w:ilvl w:val="0"/>
                <w:numId w:val="1"/>
              </w:numPr>
              <w:tabs>
                <w:tab w:val="clear" w:pos="720"/>
              </w:tabs>
              <w:ind w:hanging="144" w:start="72" w:end="0"/>
              <w:rPr/>
            </w:pPr>
            <w:r>
              <w:rPr/>
              <w:t>There is no rationale for or policy served by giving FR shippers higher alternate priority for volumes in excess of BD</w:t>
            </w:r>
          </w:p>
          <w:p>
            <w:pPr>
              <w:pStyle w:val="Normal"/>
              <w:numPr>
                <w:ilvl w:val="0"/>
                <w:numId w:val="1"/>
              </w:numPr>
              <w:tabs>
                <w:tab w:val="clear" w:pos="720"/>
              </w:tabs>
              <w:ind w:hanging="144" w:start="72" w:end="0"/>
              <w:rPr/>
            </w:pPr>
            <w:r>
              <w:rPr/>
              <w:t>Use of California Border delivery points as receipt points should be addressed</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Indicated Shippers (Aera Energy LLC; Amoco Production Company, BP Energy Company; Burlington Resources Oil &amp; Gas Company; Conoco Inc.; Marathon Oil Company; Texaco Natural Gas Inc.)</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Oppose.  Numerous questions.  Request technical conference.</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Contract demand and billing determinant shippers should be treated the same – receipt and delivery point capacity assigned pro rata based on the CD or BD quantity which is what each shipper is paying for</w:t>
            </w:r>
          </w:p>
          <w:p>
            <w:pPr>
              <w:pStyle w:val="Normal"/>
              <w:numPr>
                <w:ilvl w:val="0"/>
                <w:numId w:val="1"/>
              </w:numPr>
              <w:tabs>
                <w:tab w:val="clear" w:pos="720"/>
              </w:tabs>
              <w:ind w:hanging="144" w:start="72" w:end="0"/>
              <w:rPr/>
            </w:pPr>
            <w:r>
              <w:rPr/>
              <w:t>It is unjust, unreasonable, and unduly preferential and discriminatory for El Paso to (1) permit full requirements service in excess of the billing determinant level that is being paid for, (2) provide a higher alternate priority for FR volumes above the BD level, which pay only the commodity charge, and (3) allow system-wide receipt point rights for those additional volumes</w:t>
            </w:r>
          </w:p>
          <w:p>
            <w:pPr>
              <w:pStyle w:val="Normal"/>
              <w:numPr>
                <w:ilvl w:val="0"/>
                <w:numId w:val="1"/>
              </w:numPr>
              <w:tabs>
                <w:tab w:val="clear" w:pos="720"/>
              </w:tabs>
              <w:ind w:hanging="144" w:start="72" w:end="0"/>
              <w:rPr/>
            </w:pPr>
            <w:r>
              <w:rPr/>
              <w:t>Until El Paso fully paths its system, firm shippers will not receive the firm service they are paying for</w:t>
            </w:r>
          </w:p>
          <w:p>
            <w:pPr>
              <w:pStyle w:val="Normal"/>
              <w:numPr>
                <w:ilvl w:val="0"/>
                <w:numId w:val="1"/>
              </w:numPr>
              <w:tabs>
                <w:tab w:val="clear" w:pos="720"/>
              </w:tabs>
              <w:ind w:hanging="144" w:start="72" w:end="0"/>
              <w:rPr/>
            </w:pPr>
            <w:r>
              <w:rPr/>
              <w:t>FR contracts are a relic of the past and should be phased out</w:t>
            </w:r>
          </w:p>
          <w:p>
            <w:pPr>
              <w:pStyle w:val="Normal"/>
              <w:numPr>
                <w:ilvl w:val="0"/>
                <w:numId w:val="1"/>
              </w:numPr>
              <w:tabs>
                <w:tab w:val="clear" w:pos="720"/>
              </w:tabs>
              <w:ind w:hanging="144" w:start="72" w:end="0"/>
              <w:rPr/>
            </w:pPr>
            <w:r>
              <w:rPr/>
              <w:t>El Paso’s increase in the number of pooling areas is totally unsupported and should be rejected because it will harm shippers</w:t>
            </w:r>
          </w:p>
          <w:p>
            <w:pPr>
              <w:pStyle w:val="Normal"/>
              <w:numPr>
                <w:ilvl w:val="0"/>
                <w:numId w:val="1"/>
              </w:numPr>
              <w:tabs>
                <w:tab w:val="clear" w:pos="720"/>
              </w:tabs>
              <w:ind w:hanging="144" w:start="72" w:end="0"/>
              <w:rPr/>
            </w:pPr>
            <w:r>
              <w:rPr/>
              <w:t>24 specific questions should be answered at a technical conference.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MGI Supply Ltd. (Pemex)</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Does not oppose overall blueprint</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What is needed most is finality</w:t>
            </w:r>
          </w:p>
          <w:p>
            <w:pPr>
              <w:pStyle w:val="Normal"/>
              <w:numPr>
                <w:ilvl w:val="0"/>
                <w:numId w:val="1"/>
              </w:numPr>
              <w:tabs>
                <w:tab w:val="clear" w:pos="720"/>
              </w:tabs>
              <w:ind w:hanging="144" w:start="72" w:end="0"/>
              <w:rPr/>
            </w:pPr>
            <w:r>
              <w:rPr/>
              <w:t>Willing to accept billing determinants for full requirements allocations</w:t>
            </w:r>
          </w:p>
          <w:p>
            <w:pPr>
              <w:pStyle w:val="Normal"/>
              <w:numPr>
                <w:ilvl w:val="0"/>
                <w:numId w:val="1"/>
              </w:numPr>
              <w:tabs>
                <w:tab w:val="clear" w:pos="720"/>
              </w:tabs>
              <w:ind w:hanging="144" w:start="72" w:end="0"/>
              <w:rPr/>
            </w:pPr>
            <w:r>
              <w:rPr/>
              <w:t>Full Requirements as an institution must be preserved</w:t>
            </w:r>
          </w:p>
          <w:p>
            <w:pPr>
              <w:pStyle w:val="Normal"/>
              <w:numPr>
                <w:ilvl w:val="0"/>
                <w:numId w:val="1"/>
              </w:numPr>
              <w:tabs>
                <w:tab w:val="clear" w:pos="720"/>
              </w:tabs>
              <w:ind w:hanging="144" w:start="72" w:end="0"/>
              <w:rPr/>
            </w:pPr>
            <w:r>
              <w:rPr/>
              <w:t>Shippers who are paying for discrete facilities should have pathing rights</w:t>
            </w:r>
          </w:p>
          <w:p>
            <w:pPr>
              <w:pStyle w:val="Normal"/>
              <w:numPr>
                <w:ilvl w:val="0"/>
                <w:numId w:val="1"/>
              </w:numPr>
              <w:tabs>
                <w:tab w:val="clear" w:pos="720"/>
              </w:tabs>
              <w:ind w:hanging="144" w:start="72" w:end="0"/>
              <w:rPr/>
            </w:pPr>
            <w:r>
              <w:rPr/>
              <w:t>Wants more precise defense of increase in supply pools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ONEOK Energy Marketing and Trading Co., L.P.</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Protest</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El Paso’s proposal does not insure that shippers will receive firm service</w:t>
            </w:r>
          </w:p>
          <w:p>
            <w:pPr>
              <w:pStyle w:val="Normal"/>
              <w:numPr>
                <w:ilvl w:val="0"/>
                <w:numId w:val="1"/>
              </w:numPr>
              <w:tabs>
                <w:tab w:val="clear" w:pos="720"/>
              </w:tabs>
              <w:ind w:hanging="144" w:start="72" w:end="0"/>
              <w:rPr/>
            </w:pPr>
            <w:r>
              <w:rPr/>
              <w:t>The creation of new pooling areas would create more, not less, flow uncertainty and should be rejected</w:t>
            </w:r>
          </w:p>
          <w:p>
            <w:pPr>
              <w:pStyle w:val="Normal"/>
              <w:numPr>
                <w:ilvl w:val="0"/>
                <w:numId w:val="1"/>
              </w:numPr>
              <w:tabs>
                <w:tab w:val="clear" w:pos="720"/>
              </w:tabs>
              <w:ind w:hanging="144" w:start="72" w:end="0"/>
              <w:rPr/>
            </w:pPr>
            <w:r>
              <w:rPr/>
              <w:t>Shippers with receipt rights in a single basin should be able to elect any specific pooling area as a primary point, rather than being allocated rights pro rata among all of the pooling areas in that basin</w:t>
            </w:r>
          </w:p>
          <w:p>
            <w:pPr>
              <w:pStyle w:val="Normal"/>
              <w:numPr>
                <w:ilvl w:val="0"/>
                <w:numId w:val="1"/>
              </w:numPr>
              <w:tabs>
                <w:tab w:val="clear" w:pos="720"/>
              </w:tabs>
              <w:ind w:hanging="144" w:start="72" w:end="0"/>
              <w:rPr/>
            </w:pPr>
            <w:r>
              <w:rPr/>
              <w:t>Giving full requirements shippers an undue scheduling preference for volumes in excess of BD would violate anti-discrimination provisions of the Natural Gas Act as well as basic cost causation principles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Pacific Gas and Electric Company</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Protest</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Protests the proposed treatment of full-requirements service</w:t>
            </w:r>
          </w:p>
          <w:p>
            <w:pPr>
              <w:pStyle w:val="Normal"/>
              <w:numPr>
                <w:ilvl w:val="0"/>
                <w:numId w:val="1"/>
              </w:numPr>
              <w:tabs>
                <w:tab w:val="clear" w:pos="720"/>
              </w:tabs>
              <w:ind w:hanging="144" w:start="72" w:end="0"/>
              <w:rPr/>
            </w:pPr>
            <w:r>
              <w:rPr/>
              <w:t>The full requirements provisions of the tariff are unjust, unreasonable, unduly discriminatory, and unduly preferential, insofar as they confer superior rights at constrained receipt points and other points on the system</w:t>
            </w:r>
          </w:p>
          <w:p>
            <w:pPr>
              <w:pStyle w:val="Normal"/>
              <w:numPr>
                <w:ilvl w:val="0"/>
                <w:numId w:val="1"/>
              </w:numPr>
              <w:tabs>
                <w:tab w:val="clear" w:pos="720"/>
              </w:tabs>
              <w:ind w:hanging="144" w:start="72" w:end="0"/>
              <w:rPr/>
            </w:pPr>
            <w:r>
              <w:rPr/>
              <w:t>All FT-1 full requirements customers should be treated the same as CD customers – contract levels should be equal to their billing determinants</w:t>
            </w:r>
          </w:p>
          <w:p>
            <w:pPr>
              <w:pStyle w:val="Normal"/>
              <w:numPr>
                <w:ilvl w:val="0"/>
                <w:numId w:val="1"/>
              </w:numPr>
              <w:tabs>
                <w:tab w:val="clear" w:pos="720"/>
              </w:tabs>
              <w:ind w:hanging="144" w:start="72" w:end="0"/>
              <w:rPr/>
            </w:pPr>
            <w:r>
              <w:rPr/>
              <w:t>Capacity allocation issues on El Paso will not be resolved until FERC places fully requirements shippers on a par with CD shippers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Public Utilities Commission of Nevada</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in opposition</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El Paso’s proposal violates the NGA because it grants full requirements customers an unduly preferential scheduling priority and discriminates against CD customers in the scheduling process</w:t>
            </w:r>
          </w:p>
          <w:p>
            <w:pPr>
              <w:pStyle w:val="Normal"/>
              <w:numPr>
                <w:ilvl w:val="0"/>
                <w:numId w:val="1"/>
              </w:numPr>
              <w:tabs>
                <w:tab w:val="clear" w:pos="720"/>
              </w:tabs>
              <w:ind w:hanging="144" w:start="72" w:end="0"/>
              <w:rPr/>
            </w:pPr>
            <w:r>
              <w:rPr/>
              <w:t>The proposal gives an undue preference to CD customers whose contracts list receipt points at only a single basin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Public Utilities Commission of the State of California</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Protest (pending out-of-time interventions)</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The preferential access at constraint points for full requirements shippers should be eliminated – i.e., nominating at artificially high amounts to get a larger pro rata allocation</w:t>
            </w:r>
          </w:p>
          <w:p>
            <w:pPr>
              <w:pStyle w:val="Normal"/>
              <w:numPr>
                <w:ilvl w:val="0"/>
                <w:numId w:val="1"/>
              </w:numPr>
              <w:tabs>
                <w:tab w:val="clear" w:pos="720"/>
              </w:tabs>
              <w:ind w:hanging="144" w:start="72" w:end="0"/>
              <w:rPr/>
            </w:pPr>
            <w:r>
              <w:rPr/>
              <w:t>FERC should limit full requirements shippers’ nominations from any producing basin, including San Juan, to their current billing determinants under the 1996 Settlement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Salt River Project Agricultural Improvement and Power District</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in opposition</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If SRP is limited to its 1996 Settlement billing determinants for capacity allocation purposes as proposed by El Paso, SRP estimates that 1/3 of its customers would suffer blackouts throughout most of this summer</w:t>
            </w:r>
          </w:p>
          <w:p>
            <w:pPr>
              <w:pStyle w:val="Normal"/>
              <w:numPr>
                <w:ilvl w:val="0"/>
                <w:numId w:val="1"/>
              </w:numPr>
              <w:tabs>
                <w:tab w:val="clear" w:pos="720"/>
              </w:tabs>
              <w:ind w:hanging="144" w:start="72" w:end="0"/>
              <w:rPr/>
            </w:pPr>
            <w:r>
              <w:rPr/>
              <w:t>Maintenance of the existing pro rata allocation methodology is appropriate at least for the remaining term of the 1996 Settlement</w:t>
            </w:r>
          </w:p>
          <w:p>
            <w:pPr>
              <w:pStyle w:val="Normal"/>
              <w:numPr>
                <w:ilvl w:val="0"/>
                <w:numId w:val="1"/>
              </w:numPr>
              <w:tabs>
                <w:tab w:val="clear" w:pos="720"/>
              </w:tabs>
              <w:ind w:hanging="144" w:start="72" w:end="0"/>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Sid Richardson Energy Services Co., Sid Richardson Pipeline, Ltd. And Richardson Energy Marketing, Ltd.</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Protest</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Protests increase in the number of pooling areas, which will seriously reduce liquidity and otherwise reduce and harm competition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Southern California Gas Company</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and Strong Protest</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El Paso’s filing equates to a refusal to comply with Order No. 637 and specific FERC orders because it does not allocate receipt point capacity or provide for path segmentation</w:t>
            </w:r>
          </w:p>
          <w:p>
            <w:pPr>
              <w:pStyle w:val="Normal"/>
              <w:numPr>
                <w:ilvl w:val="0"/>
                <w:numId w:val="1"/>
              </w:numPr>
              <w:tabs>
                <w:tab w:val="clear" w:pos="720"/>
              </w:tabs>
              <w:ind w:hanging="144" w:start="72" w:end="0"/>
              <w:rPr/>
            </w:pPr>
            <w:r>
              <w:rPr/>
              <w:t>FERC should direct El Paso to convert all full requirements customers to CD service, establish firm receipt point rights, and provide for capacity segmentation within 90 days</w:t>
            </w:r>
          </w:p>
          <w:p>
            <w:pPr>
              <w:pStyle w:val="Normal"/>
              <w:numPr>
                <w:ilvl w:val="0"/>
                <w:numId w:val="1"/>
              </w:numPr>
              <w:tabs>
                <w:tab w:val="clear" w:pos="720"/>
              </w:tabs>
              <w:ind w:hanging="144" w:start="72" w:end="0"/>
              <w:rPr/>
            </w:pPr>
            <w:r>
              <w:rPr/>
              <w:t>The only way to truly provide certainty on the El Paso system is to eliminate the unique and preferential treatment provided to full requirements shippers</w:t>
            </w:r>
          </w:p>
          <w:p>
            <w:pPr>
              <w:pStyle w:val="Normal"/>
              <w:numPr>
                <w:ilvl w:val="0"/>
                <w:numId w:val="1"/>
              </w:numPr>
              <w:tabs>
                <w:tab w:val="clear" w:pos="720"/>
              </w:tabs>
              <w:ind w:hanging="144" w:start="72" w:end="0"/>
              <w:rPr/>
            </w:pPr>
            <w:r>
              <w:rPr/>
              <w:t>Full requirements shippers have a scheduling priority to supply basins because they can overnominate to get higher pro rated volumes</w:t>
            </w:r>
          </w:p>
          <w:p>
            <w:pPr>
              <w:pStyle w:val="Normal"/>
              <w:numPr>
                <w:ilvl w:val="0"/>
                <w:numId w:val="1"/>
              </w:numPr>
              <w:tabs>
                <w:tab w:val="clear" w:pos="720"/>
              </w:tabs>
              <w:ind w:hanging="144" w:start="72" w:end="0"/>
              <w:rPr/>
            </w:pPr>
            <w:r>
              <w:rPr/>
              <w:t>Full requirements shippers are subsidized because demand charges are paid only on the billing determinant and any volumes above BD are assessed only commodity charges</w:t>
            </w:r>
          </w:p>
          <w:p>
            <w:pPr>
              <w:pStyle w:val="Normal"/>
              <w:numPr>
                <w:ilvl w:val="0"/>
                <w:numId w:val="1"/>
              </w:numPr>
              <w:tabs>
                <w:tab w:val="clear" w:pos="720"/>
              </w:tabs>
              <w:ind w:hanging="144" w:start="72" w:end="0"/>
              <w:rPr/>
            </w:pPr>
            <w:r>
              <w:rPr/>
              <w:t>FERC must either convert full requirements service to CD contracts or concede that all other service is interruptible and that firm rates are inappropriate</w:t>
            </w:r>
          </w:p>
          <w:p>
            <w:pPr>
              <w:pStyle w:val="Normal"/>
              <w:numPr>
                <w:ilvl w:val="0"/>
                <w:numId w:val="1"/>
              </w:numPr>
              <w:tabs>
                <w:tab w:val="clear" w:pos="720"/>
              </w:tabs>
              <w:ind w:hanging="144" w:start="72" w:end="0"/>
              <w:rPr/>
            </w:pPr>
            <w:r>
              <w:rPr/>
              <w:t>If El Paso cannot path and allow segmentation, it also cannot allocate system costs by distance of haul and should be ordered to file for postage stamp rates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Southwest Gas Corporation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and request for technical conference</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The existing pro rata allocation method remains just and reasonable and Southwest Gas is not supporting any change to the existing method</w:t>
            </w:r>
          </w:p>
          <w:p>
            <w:pPr>
              <w:pStyle w:val="Normal"/>
              <w:numPr>
                <w:ilvl w:val="0"/>
                <w:numId w:val="1"/>
              </w:numPr>
              <w:tabs>
                <w:tab w:val="clear" w:pos="720"/>
              </w:tabs>
              <w:ind w:hanging="144" w:start="72" w:end="0"/>
              <w:rPr/>
            </w:pPr>
            <w:r>
              <w:rPr/>
              <w:t>The public interest standard of the Mobile Sierra doctrine supports continuation of the pro rata allocation method</w:t>
            </w:r>
          </w:p>
          <w:p>
            <w:pPr>
              <w:pStyle w:val="Normal"/>
              <w:numPr>
                <w:ilvl w:val="0"/>
                <w:numId w:val="1"/>
              </w:numPr>
              <w:tabs>
                <w:tab w:val="clear" w:pos="720"/>
              </w:tabs>
              <w:ind w:hanging="144" w:start="72" w:end="0"/>
              <w:rPr/>
            </w:pPr>
            <w:r>
              <w:rPr/>
              <w:t>Any alternative allocation proposal must maintain the integrity of full requirements service, must be fair and equitable, and must be consistent with contract and service rights</w:t>
            </w:r>
          </w:p>
          <w:p>
            <w:pPr>
              <w:pStyle w:val="Normal"/>
              <w:numPr>
                <w:ilvl w:val="0"/>
                <w:numId w:val="1"/>
              </w:numPr>
              <w:tabs>
                <w:tab w:val="clear" w:pos="720"/>
              </w:tabs>
              <w:ind w:hanging="144" w:start="72" w:end="0"/>
              <w:rPr/>
            </w:pPr>
            <w:r>
              <w:rPr/>
              <w:t>All shippers should be able to resell specified receipt point rights, outside of capacity release transactions, prior to the gas flow day</w:t>
            </w:r>
          </w:p>
          <w:p>
            <w:pPr>
              <w:pStyle w:val="Normal"/>
              <w:numPr>
                <w:ilvl w:val="0"/>
                <w:numId w:val="1"/>
              </w:numPr>
              <w:tabs>
                <w:tab w:val="clear" w:pos="720"/>
              </w:tabs>
              <w:ind w:hanging="144" w:start="72" w:end="0"/>
              <w:rPr/>
            </w:pPr>
            <w:r>
              <w:rPr/>
              <w:t>The increase in the number of pooling areas will reduce liquidity and competition in the buying and selling process, decrease efficiency in the conduct of daily activities, and diminish the flexibility with which shippers can utilize primary firm capacity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Williams Energy Marketing &amp; Trading Company</w:t>
            </w:r>
          </w:p>
        </w:tc>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Comments and request for technical conference</w:t>
            </w:r>
          </w:p>
        </w:tc>
        <w:tc>
          <w:tcPr>
            <w:tcW w:w="756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ind w:hanging="144" w:start="72" w:end="0"/>
              <w:rPr/>
            </w:pPr>
            <w:r>
              <w:rPr/>
              <w:t>Concerned about the vagueness of the proposal</w:t>
            </w:r>
          </w:p>
          <w:p>
            <w:pPr>
              <w:pStyle w:val="Normal"/>
              <w:numPr>
                <w:ilvl w:val="0"/>
                <w:numId w:val="1"/>
              </w:numPr>
              <w:tabs>
                <w:tab w:val="clear" w:pos="720"/>
              </w:tabs>
              <w:ind w:hanging="144" w:start="72" w:end="0"/>
              <w:rPr/>
            </w:pPr>
            <w:r>
              <w:rPr/>
              <w:t>The proposal would reduce shippers’ flexibility and also the liquidity of the gas sales market by implementing a more restrictive receipt area allocation method that has not been fully developed</w:t>
            </w:r>
          </w:p>
          <w:p>
            <w:pPr>
              <w:pStyle w:val="Normal"/>
              <w:numPr>
                <w:ilvl w:val="0"/>
                <w:numId w:val="1"/>
              </w:numPr>
              <w:tabs>
                <w:tab w:val="clear" w:pos="720"/>
              </w:tabs>
              <w:ind w:hanging="144" w:start="72" w:end="0"/>
              <w:rPr/>
            </w:pPr>
            <w:r>
              <w:rPr/>
              <w:t>Several aspects of the proposal would unfairly favor full requirements shippers over CD shippers</w:t>
            </w:r>
          </w:p>
        </w:tc>
      </w:tr>
    </w:tbl>
    <w:p>
      <w:pPr>
        <w:pStyle w:val="Normal"/>
        <w:rPr/>
      </w:pPr>
      <w:r>
        <w:rPr/>
      </w:r>
    </w:p>
    <w:sectPr>
      <w:footerReference w:type="default" r:id="rId2"/>
      <w:footnotePr>
        <w:numFmt w:val="decimal"/>
      </w:footnotePr>
      <w:type w:val="nextPage"/>
      <w:pgSz w:orient="landscape" w:w="15840" w:h="12240"/>
      <w:pgMar w:left="864" w:right="864" w:gutter="0" w:header="0" w:top="864" w:footer="432"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4040" w:leader="none"/>
      </w:tabs>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r>
      <w:rPr/>
      <w:tab/>
      <w:tab/>
      <w:t>Prepared July 13, 2001</w:t>
    </w:r>
  </w:p>
  <w:p>
    <w:pPr>
      <w:pStyle w:val="Footer"/>
      <w:jc w:val="end"/>
      <w:rPr/>
    </w:pPr>
    <w:r>
      <w:rPr/>
      <w:tab/>
      <w:t>By Becky Cantrell; X.35840</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Apache Nitrogen Products, Inc.; Arizona Electric Power Cooperative; ASARCO, Inc.; BHP Copper, Inc.; Arizona Gas Division of Citizens Communications Company; El Paso Electric Company; El Paso Municipal Customer Group, Phelps Dodge Corporation, PNM Gas Services, a division of Public Service Company of New Mexico; and Southern Union Gas Company.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16" w:hanging="216"/>
      </w:pPr>
      <w:rPr>
        <w:rFonts w:ascii="Wingdings" w:hAnsi="Wingdings" w:cs="Wingdings" w:hint="default"/>
        <w:sz w:val="16"/>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sz w:val="16"/>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2001-07-11T17:50:00Z</dcterms:created>
  <dc:creator>Rebecca W. Cantrell</dc:creator>
  <dc:description/>
  <dc:language>en-CA</dc:language>
  <cp:lastModifiedBy>Rebecca W. Cantrell</cp:lastModifiedBy>
  <cp:lastPrinted>2001-07-13T11:03:00Z</cp:lastPrinted>
  <dcterms:modified xsi:type="dcterms:W3CDTF">2001-07-13T13:34:00Z</dcterms:modified>
  <cp:revision>7</cp:revision>
  <dc:subject/>
  <dc:title>Party</dc:title>
</cp:coreProperties>
</file>