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i/>
          <w:i/>
          <w:sz w:val="24"/>
        </w:rPr>
      </w:pPr>
      <w:r>
        <w:rPr>
          <w:rFonts w:cs="Arial" w:ascii="Arial" w:hAnsi="Arial"/>
          <w:b/>
          <w:i/>
          <w:sz w:val="24"/>
        </w:rPr>
      </w:r>
    </w:p>
    <w:p>
      <w:pPr>
        <w:pStyle w:val="Heading3"/>
        <w:ind w:hanging="0" w:start="0"/>
        <w:rPr>
          <w:rFonts w:ascii="Arial" w:hAnsi="Arial" w:cs="Arial"/>
          <w:b/>
          <w:bCs/>
          <w:i/>
          <w:i/>
          <w:sz w:val="28"/>
          <w:u w:val="single"/>
        </w:rPr>
      </w:pPr>
      <w:r>
        <w:rPr>
          <w:rFonts w:cs="Arial" w:ascii="Arial" w:hAnsi="Arial"/>
          <w:b/>
          <w:bCs/>
          <w:i/>
          <w:sz w:val="28"/>
          <w:u w:val="single"/>
        </w:rPr>
      </w:r>
    </w:p>
    <w:p>
      <w:pPr>
        <w:pStyle w:val="Heading3"/>
        <w:ind w:hanging="0" w:start="0"/>
        <w:rPr>
          <w:rFonts w:ascii="Arial" w:hAnsi="Arial" w:cs="Arial"/>
          <w:b/>
          <w:bCs/>
          <w:sz w:val="28"/>
          <w:u w:val="single"/>
        </w:rPr>
      </w:pPr>
      <w:r>
        <w:rPr>
          <w:rFonts w:cs="Arial" w:ascii="Arial" w:hAnsi="Arial"/>
          <w:b/>
          <w:bCs/>
          <w:sz w:val="28"/>
          <w:u w:val="single"/>
        </w:rPr>
        <w:t>Annual Retreat Summary</w:t>
      </w:r>
    </w:p>
    <w:p>
      <w:pPr>
        <w:pStyle w:val="Normal"/>
        <w:rPr>
          <w:rFonts w:ascii="Arial" w:hAnsi="Arial" w:cs="Arial"/>
          <w:b/>
          <w:bCs/>
          <w:sz w:val="24"/>
          <w:u w:val="single"/>
        </w:rPr>
      </w:pPr>
      <w:r>
        <w:rPr>
          <w:rFonts w:cs="Arial" w:ascii="Arial" w:hAnsi="Arial"/>
          <w:b/>
          <w:bCs/>
          <w:sz w:val="24"/>
          <w:u w:val="single"/>
        </w:rPr>
      </w:r>
    </w:p>
    <w:p>
      <w:pPr>
        <w:pStyle w:val="Normal"/>
        <w:rPr/>
      </w:pPr>
      <w:r>
        <w:rPr>
          <w:rFonts w:cs="Arial" w:ascii="Arial" w:hAnsi="Arial"/>
          <w:sz w:val="24"/>
        </w:rPr>
        <w:t xml:space="preserve">This year’s Annual Retreat was a very well attended and informative meeting. The topics discussed covered the gamut of issues affecting current crisis in the California energy market. Below is a distilled set of issue points covered at the Retreat. We hope this serves as a checklist of issues to work on in the coming year. As Becky Kilbourne of the CA Power Exchange put it </w:t>
      </w:r>
      <w:r>
        <w:rPr>
          <w:rFonts w:cs="Arial" w:ascii="Arial" w:hAnsi="Arial"/>
          <w:b/>
          <w:i/>
          <w:sz w:val="24"/>
        </w:rPr>
        <w:t xml:space="preserve">“Restructuring is a process, not an event,” certainly not an event in August of 1996. </w:t>
      </w:r>
      <w:r>
        <w:rPr>
          <w:rFonts w:cs="Arial" w:ascii="Arial" w:hAnsi="Arial"/>
          <w:sz w:val="24"/>
        </w:rPr>
        <w:t>We obviously need to continue the collaborative restructuring process and move California forward.  Based on this meeting, we continue to have a great deal of optimism that our State will come out of this immediate crisis stronger and better prepared for our energy future than any political jurisdiction on the planet, if we stop the blame game and begin pulling together around realistic solutions.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Before we go into a summary of the major issues discussed in Napa, we wanted to credit some of the sage comments and sound counsel we all heard.</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Dan Richard, Executive Vice President of PG&amp;E, said, “Our policy makers must be prepared to move forward with a sense of bold, persistent experimentation if we are to successfully address all of the various challenges. In other words, the only mistake would be to do nothing.”</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Richard Bilas, CPUC Commissioner, (and many other panelists) said, “We must all stop the finger pointing and the blame game, if we are to move forward with serious solutions.”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Bill Booth, with CLECA, stated “industrial customers understand that if we expect the utilities to procure energy for us that there will be a responsibility to stay on the system for a certain period of time [and not leave as soon as prices decline].”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D.J. Smith, the Group Coordinator, said “Can’t we all stop talking about the summer of 2000 and August of 1996, and start talking about how we’re going to get through 2001 without blackouts and price spikes?”  He also said,  “Does everyone believe Terry Winter’s professional assessment of the power shortage? (Everyone agreed they did) Then it is now incumbent on us all to communicate this sense of urgency to State policy makers.”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Ralph Cavanagh, of NRDC, stated, “I am still proud of the AB 1890 process and feel that the basic product was a good one for California. I would just ask that as we consider necessary improvements in that legislation that we not use the environment as a scapegoat for the lack of supply and other issues, and continue working together as we have on AB 995 and SB 1194.”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As always, please review and add suggestions and comments on this meeting summary and we will amend it to accurately reflect your input.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6"/>
        <w:ind w:hanging="0" w:start="0"/>
        <w:rPr>
          <w:sz w:val="28"/>
        </w:rPr>
      </w:pPr>
      <w:r>
        <w:rPr>
          <w:sz w:val="28"/>
        </w:rPr>
        <w:t>General Observations</w:t>
      </w:r>
    </w:p>
    <w:p>
      <w:pPr>
        <w:pStyle w:val="Normal"/>
        <w:ind w:start="144" w:end="0"/>
        <w:rPr>
          <w:rFonts w:ascii="Arial" w:hAnsi="Arial" w:cs="Arial"/>
          <w:sz w:val="24"/>
        </w:rPr>
      </w:pPr>
      <w:r>
        <w:rPr>
          <w:rFonts w:cs="Arial" w:ascii="Arial" w:hAnsi="Arial"/>
          <w:sz w:val="24"/>
        </w:rPr>
      </w:r>
    </w:p>
    <w:p>
      <w:pPr>
        <w:pStyle w:val="Normal"/>
        <w:numPr>
          <w:ilvl w:val="0"/>
          <w:numId w:val="5"/>
        </w:numPr>
        <w:rPr>
          <w:rFonts w:ascii="Arial" w:hAnsi="Arial" w:cs="Arial"/>
          <w:sz w:val="24"/>
        </w:rPr>
      </w:pPr>
      <w:r>
        <w:rPr>
          <w:rFonts w:cs="Arial" w:ascii="Arial" w:hAnsi="Arial"/>
          <w:sz w:val="24"/>
        </w:rPr>
        <w:t>Even if the peaking capacity the CA ISO has contracted for shows up, we are seriously undersupplied for next summer in electricity, especially if we have dryer or hotter than normal weather in the next twelve months. Numerous old power plants are operating beyond needed maintenance schedules and lifecycle expectations.</w:t>
      </w:r>
    </w:p>
    <w:p>
      <w:pPr>
        <w:pStyle w:val="Normal"/>
        <w:ind w:start="144" w:end="0"/>
        <w:rPr>
          <w:rFonts w:ascii="Arial" w:hAnsi="Arial" w:cs="Arial"/>
          <w:sz w:val="24"/>
        </w:rPr>
      </w:pPr>
      <w:r>
        <w:rPr>
          <w:rFonts w:cs="Arial" w:ascii="Arial" w:hAnsi="Arial"/>
          <w:sz w:val="24"/>
        </w:rPr>
      </w:r>
    </w:p>
    <w:p>
      <w:pPr>
        <w:pStyle w:val="Normal"/>
        <w:numPr>
          <w:ilvl w:val="0"/>
          <w:numId w:val="5"/>
        </w:numPr>
        <w:rPr>
          <w:rFonts w:ascii="Arial" w:hAnsi="Arial" w:cs="Arial"/>
          <w:sz w:val="24"/>
        </w:rPr>
      </w:pPr>
      <w:r>
        <w:rPr>
          <w:rFonts w:cs="Arial" w:ascii="Arial" w:hAnsi="Arial"/>
          <w:sz w:val="24"/>
        </w:rPr>
        <w:t>The CPUC is simply not considering numerous policy and process issues in a timely manner including, but not limited to:</w:t>
      </w:r>
    </w:p>
    <w:p>
      <w:pPr>
        <w:pStyle w:val="Normal"/>
        <w:ind w:start="504" w:end="0"/>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Action on meaningful demand side management programs for large customers.</w:t>
      </w:r>
    </w:p>
    <w:p>
      <w:pPr>
        <w:pStyle w:val="Normal"/>
        <w:ind w:start="720" w:end="0"/>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Action on valuing the remaining utility assets and deciding accounting changes relative to the TRA/TCBA.</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Action on adopting specific and workable guidelines for forward power purchase contracts by the utilities.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6"/>
        <w:ind w:hanging="0" w:start="0"/>
        <w:rPr>
          <w:sz w:val="28"/>
        </w:rPr>
      </w:pPr>
      <w:r>
        <w:rPr>
          <w:sz w:val="28"/>
        </w:rPr>
        <w:t>Specific Issues</w:t>
      </w:r>
    </w:p>
    <w:p>
      <w:pPr>
        <w:pStyle w:val="Normal"/>
        <w:rPr>
          <w:rFonts w:ascii="Arial" w:hAnsi="Arial" w:cs="Arial"/>
          <w:b/>
          <w:sz w:val="24"/>
        </w:rPr>
      </w:pPr>
      <w:r>
        <w:rPr>
          <w:rFonts w:cs="Arial" w:ascii="Arial" w:hAnsi="Arial"/>
          <w:b/>
          <w:sz w:val="24"/>
        </w:rPr>
      </w:r>
    </w:p>
    <w:p>
      <w:pPr>
        <w:pStyle w:val="Normal"/>
        <w:rPr/>
      </w:pPr>
      <w:r>
        <w:rPr>
          <w:rFonts w:cs="Arial" w:ascii="Arial" w:hAnsi="Arial"/>
          <w:b/>
          <w:sz w:val="24"/>
          <w:u w:val="single"/>
        </w:rPr>
        <w:t>Issue</w:t>
      </w:r>
      <w:r>
        <w:rPr>
          <w:rFonts w:cs="Arial" w:ascii="Arial" w:hAnsi="Arial"/>
          <w:b/>
          <w:sz w:val="24"/>
        </w:rPr>
        <w:t>:</w:t>
      </w:r>
      <w:r>
        <w:rPr>
          <w:rFonts w:cs="Arial" w:ascii="Arial" w:hAnsi="Arial"/>
          <w:sz w:val="24"/>
        </w:rPr>
        <w:t xml:space="preserve"> Bilateral Contracts</w:t>
      </w:r>
    </w:p>
    <w:p>
      <w:pPr>
        <w:pStyle w:val="Normal"/>
        <w:rPr>
          <w:rFonts w:ascii="Arial" w:hAnsi="Arial" w:cs="Arial"/>
          <w:sz w:val="16"/>
        </w:rPr>
      </w:pPr>
      <w:r>
        <w:rPr>
          <w:rFonts w:cs="Arial" w:ascii="Arial" w:hAnsi="Arial"/>
          <w:sz w:val="16"/>
        </w:rPr>
      </w:r>
    </w:p>
    <w:p>
      <w:pPr>
        <w:pStyle w:val="Normal"/>
        <w:rPr/>
      </w:pPr>
      <w:r>
        <w:rPr>
          <w:rFonts w:cs="Arial" w:ascii="Arial" w:hAnsi="Arial"/>
          <w:b/>
          <w:sz w:val="24"/>
        </w:rPr>
        <w:t>Discussion:</w:t>
      </w:r>
      <w:r>
        <w:rPr>
          <w:rFonts w:cs="Arial" w:ascii="Arial" w:hAnsi="Arial"/>
          <w:sz w:val="24"/>
        </w:rPr>
        <w:t xml:space="preserve"> The discussion centered on the need for the CPUC to immediately develop a policy and process for making bilateral contracts workable in the real world energy market for the utilities. It is clear that a substantial percentage of the utilities portfolio should be bilateral contracts. The policy should outline what percentage, specific criteria and for how long. Also the policy should include no after-the-fact reasonableness reviews, if the contracts fit within certain set parameters or cost guidelines. This needs to be done immediately so that utilities may take full advantage of market opportunities to best serve their customers. It is already late in the market process for the best deals to be available.</w:t>
      </w:r>
    </w:p>
    <w:p>
      <w:pPr>
        <w:pStyle w:val="Normal"/>
        <w:rPr>
          <w:rFonts w:ascii="Arial" w:hAnsi="Arial" w:cs="Arial"/>
          <w:sz w:val="16"/>
        </w:rPr>
      </w:pPr>
      <w:r>
        <w:rPr>
          <w:rFonts w:cs="Arial" w:ascii="Arial" w:hAnsi="Arial"/>
          <w:sz w:val="16"/>
        </w:rPr>
      </w:r>
    </w:p>
    <w:p>
      <w:pPr>
        <w:pStyle w:val="Normal"/>
        <w:rPr/>
      </w:pPr>
      <w:r>
        <w:rPr>
          <w:rFonts w:cs="Arial" w:ascii="Arial" w:hAnsi="Arial"/>
          <w:b/>
          <w:sz w:val="24"/>
        </w:rPr>
        <w:t xml:space="preserve">Conclusion: </w:t>
      </w:r>
      <w:r>
        <w:rPr>
          <w:rFonts w:cs="Arial" w:ascii="Arial" w:hAnsi="Arial"/>
          <w:sz w:val="24"/>
        </w:rPr>
        <w:t xml:space="preserve"> The group agreed that something needs to be done – either a policy decision from the CPUC, a settlement conference that sets up criteria, process, etc. for bilateral contacts, or urgency legislation, if no regulatory movement is imminent. The Group and its individual members need to work together to find the best solution and carry that forward with the CPUC and Administration. Having the CPUC adopt specific cost and time line parameters was universally supported. It is our understanding that all groups recently meeting with the Governor’s Office also supported this need.</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pPr>
      <w:r>
        <w:rPr>
          <w:rFonts w:cs="Arial" w:ascii="Arial" w:hAnsi="Arial"/>
          <w:b/>
          <w:sz w:val="24"/>
          <w:u w:val="single"/>
        </w:rPr>
        <w:t>Issue</w:t>
      </w:r>
      <w:r>
        <w:rPr>
          <w:rFonts w:cs="Arial" w:ascii="Arial" w:hAnsi="Arial"/>
          <w:b/>
          <w:sz w:val="24"/>
        </w:rPr>
        <w:t>:</w:t>
      </w:r>
      <w:r>
        <w:rPr>
          <w:rFonts w:cs="Arial" w:ascii="Arial" w:hAnsi="Arial"/>
          <w:sz w:val="24"/>
        </w:rPr>
        <w:t xml:space="preserve"> Utility Undercollections</w:t>
      </w:r>
    </w:p>
    <w:p>
      <w:pPr>
        <w:pStyle w:val="Normal"/>
        <w:rPr>
          <w:rFonts w:ascii="Arial" w:hAnsi="Arial" w:cs="Arial"/>
          <w:sz w:val="16"/>
        </w:rPr>
      </w:pPr>
      <w:r>
        <w:rPr>
          <w:rFonts w:cs="Arial" w:ascii="Arial" w:hAnsi="Arial"/>
          <w:sz w:val="16"/>
        </w:rPr>
      </w:r>
    </w:p>
    <w:p>
      <w:pPr>
        <w:pStyle w:val="Normal"/>
        <w:rPr>
          <w:rFonts w:ascii="Arial" w:hAnsi="Arial" w:cs="Arial"/>
          <w:b/>
          <w:sz w:val="24"/>
        </w:rPr>
      </w:pPr>
      <w:r>
        <w:rPr>
          <w:rFonts w:cs="Arial" w:ascii="Arial" w:hAnsi="Arial"/>
          <w:b/>
          <w:sz w:val="24"/>
        </w:rPr>
        <w:t xml:space="preserve">Discussion: </w:t>
      </w:r>
      <w:r>
        <w:rPr>
          <w:rFonts w:cs="Arial" w:ascii="Arial" w:hAnsi="Arial"/>
          <w:sz w:val="24"/>
        </w:rPr>
        <w:t>There is clearly a need to focus on fixing the market to stop the financial bleeding of the utilities,  then deal with how to pay back undercollections. Below are thoughts from the utilities on this issue:</w:t>
      </w:r>
    </w:p>
    <w:p>
      <w:pPr>
        <w:pStyle w:val="Heading1"/>
        <w:ind w:hanging="0" w:start="0"/>
        <w:rPr>
          <w:rFonts w:ascii="Arial" w:hAnsi="Arial" w:cs="Arial"/>
        </w:rPr>
      </w:pPr>
      <w:r>
        <w:rPr>
          <w:rFonts w:cs="Arial" w:ascii="Arial" w:hAnsi="Arial"/>
        </w:rPr>
        <w:t xml:space="preserve">PG&amp;E – They need a solution, which they believe is a rate increase, to deal with on going issue of the delta between costs and rates as well as a mechanism to recover the undercollections from year 2000. They have filed a “rate stabilization “ proposal at the CPUC. (See enclosed summary)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SDG&amp;E – They will be seeking legislation to fix the 6.5-cent rate established by AB 265 rather than the floating rate as a way of setting predictable and stable rates for their customers.</w:t>
      </w:r>
    </w:p>
    <w:p>
      <w:pPr>
        <w:pStyle w:val="Normal"/>
        <w:rPr>
          <w:rFonts w:ascii="Arial" w:hAnsi="Arial" w:cs="Arial"/>
          <w:sz w:val="24"/>
        </w:rPr>
      </w:pPr>
      <w:r>
        <w:rPr>
          <w:rFonts w:cs="Arial" w:ascii="Arial" w:hAnsi="Arial"/>
          <w:sz w:val="24"/>
        </w:rPr>
      </w:r>
    </w:p>
    <w:p>
      <w:pPr>
        <w:pStyle w:val="Heading1"/>
        <w:ind w:hanging="0" w:start="0"/>
        <w:rPr>
          <w:rFonts w:ascii="Arial" w:hAnsi="Arial" w:cs="Arial"/>
        </w:rPr>
      </w:pPr>
      <w:r>
        <w:rPr>
          <w:rFonts w:cs="Arial" w:ascii="Arial" w:hAnsi="Arial"/>
        </w:rPr>
        <w:t xml:space="preserve">SCE – They have filed a petition to modify the PTR decision at the CPUC to fix the accounting rules established in that decision. All 3 utilities are working towards any kind of resolution to keep the accountants from making the decision for them. They have also filed a “rate stabilization “ proposal at the CPUC. (See enclosed summary) </w:t>
      </w:r>
    </w:p>
    <w:p>
      <w:pPr>
        <w:pStyle w:val="Normal"/>
        <w:rPr>
          <w:rFonts w:ascii="Arial" w:hAnsi="Arial" w:cs="Arial"/>
          <w:sz w:val="16"/>
        </w:rPr>
      </w:pPr>
      <w:r>
        <w:rPr>
          <w:rFonts w:cs="Arial" w:ascii="Arial" w:hAnsi="Arial"/>
          <w:sz w:val="16"/>
        </w:rPr>
      </w:r>
    </w:p>
    <w:p>
      <w:pPr>
        <w:pStyle w:val="Normal"/>
        <w:rPr/>
      </w:pPr>
      <w:r>
        <w:rPr>
          <w:rFonts w:cs="Arial" w:ascii="Arial" w:hAnsi="Arial"/>
          <w:b/>
          <w:sz w:val="24"/>
        </w:rPr>
        <w:t xml:space="preserve">Conclusion: </w:t>
      </w:r>
      <w:r>
        <w:rPr>
          <w:rFonts w:cs="Arial" w:ascii="Arial" w:hAnsi="Arial"/>
          <w:sz w:val="24"/>
        </w:rPr>
        <w:t xml:space="preserve">Almost all members now have set litigation positions on this issue. However, there was agreement that a solid, third party accounting of all the issues is needed and then the issue must be dealt with as soon as possible by the CPUC, if other longer-term issues are to be addressed.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pPr>
      <w:r>
        <w:rPr>
          <w:rFonts w:cs="Arial" w:ascii="Arial" w:hAnsi="Arial"/>
          <w:b/>
          <w:sz w:val="24"/>
          <w:u w:val="single"/>
        </w:rPr>
        <w:t>Issue</w:t>
      </w:r>
      <w:r>
        <w:rPr>
          <w:rFonts w:cs="Arial" w:ascii="Arial" w:hAnsi="Arial"/>
          <w:b/>
          <w:sz w:val="24"/>
        </w:rPr>
        <w:t>:</w:t>
      </w:r>
      <w:r>
        <w:rPr>
          <w:rFonts w:cs="Arial" w:ascii="Arial" w:hAnsi="Arial"/>
          <w:sz w:val="24"/>
        </w:rPr>
        <w:t xml:space="preserve"> Appropriate Role for ISO and PX</w:t>
      </w:r>
    </w:p>
    <w:p>
      <w:pPr>
        <w:pStyle w:val="Normal"/>
        <w:rPr>
          <w:rFonts w:ascii="Arial" w:hAnsi="Arial" w:cs="Arial"/>
          <w:sz w:val="16"/>
        </w:rPr>
      </w:pPr>
      <w:r>
        <w:rPr>
          <w:rFonts w:cs="Arial" w:ascii="Arial" w:hAnsi="Arial"/>
          <w:sz w:val="16"/>
        </w:rPr>
      </w:r>
    </w:p>
    <w:p>
      <w:pPr>
        <w:pStyle w:val="Normal"/>
        <w:rPr/>
      </w:pPr>
      <w:r>
        <w:rPr>
          <w:rFonts w:cs="Arial" w:ascii="Arial" w:hAnsi="Arial"/>
          <w:b/>
          <w:sz w:val="24"/>
        </w:rPr>
        <w:t>Discussion:</w:t>
      </w:r>
      <w:r>
        <w:rPr>
          <w:rFonts w:cs="Arial" w:ascii="Arial" w:hAnsi="Arial"/>
          <w:sz w:val="24"/>
        </w:rPr>
        <w:t xml:space="preserve"> The ISO was originally constituted to serve as the controller of the grid. More recently, the ISO has had to serve as a procurer of power to manage the state grid. This has lead to a tenuous situation that is not beneficial to the reliability of the State’s grid and is leading to a great deal of misunderstanding of the ISO’s role.</w:t>
      </w:r>
    </w:p>
    <w:p>
      <w:pPr>
        <w:pStyle w:val="Normal"/>
        <w:rPr>
          <w:rFonts w:ascii="Arial" w:hAnsi="Arial" w:cs="Arial"/>
          <w:sz w:val="16"/>
        </w:rPr>
      </w:pPr>
      <w:r>
        <w:rPr>
          <w:rFonts w:cs="Arial" w:ascii="Arial" w:hAnsi="Arial"/>
          <w:sz w:val="16"/>
        </w:rPr>
      </w:r>
    </w:p>
    <w:p>
      <w:pPr>
        <w:pStyle w:val="Normal"/>
        <w:rPr/>
      </w:pPr>
      <w:r>
        <w:rPr>
          <w:rFonts w:cs="Arial" w:ascii="Arial" w:hAnsi="Arial"/>
          <w:b/>
          <w:sz w:val="24"/>
        </w:rPr>
        <w:t xml:space="preserve">Conclusion: </w:t>
      </w:r>
      <w:r>
        <w:rPr>
          <w:rFonts w:cs="Arial" w:ascii="Arial" w:hAnsi="Arial"/>
          <w:sz w:val="24"/>
        </w:rPr>
        <w:t>The roles of the ISO and the PX have to be part of any discussion about our energy market. The Governor’s Office and the FERC have made it clear that this issue will be front and center in the next session of the Legislature. There is a developing consensus that a single state agency needs to do some level of generation and transmission study, coordination and/or planning. The Group needs to discuss this at the meeting scheduled for Friday, December 1</w:t>
      </w:r>
      <w:r>
        <w:rPr>
          <w:rFonts w:cs="Arial" w:ascii="Arial" w:hAnsi="Arial"/>
          <w:sz w:val="24"/>
          <w:vertAlign w:val="superscript"/>
        </w:rPr>
        <w:t>st</w:t>
      </w:r>
      <w:r>
        <w:rPr>
          <w:rFonts w:cs="Arial" w:ascii="Arial" w:hAnsi="Arial"/>
          <w:sz w:val="24"/>
        </w:rPr>
        <w:t>.</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pPr>
      <w:r>
        <w:rPr>
          <w:rFonts w:cs="Arial" w:ascii="Arial" w:hAnsi="Arial"/>
          <w:b/>
          <w:sz w:val="24"/>
          <w:u w:val="single"/>
        </w:rPr>
        <w:t>Issue</w:t>
      </w:r>
      <w:r>
        <w:rPr>
          <w:rFonts w:cs="Arial" w:ascii="Arial" w:hAnsi="Arial"/>
          <w:b/>
          <w:sz w:val="24"/>
        </w:rPr>
        <w:t>:</w:t>
      </w:r>
      <w:r>
        <w:rPr>
          <w:rFonts w:cs="Arial" w:ascii="Arial" w:hAnsi="Arial"/>
          <w:sz w:val="24"/>
        </w:rPr>
        <w:t xml:space="preserve"> Default Provider Service</w:t>
      </w:r>
    </w:p>
    <w:p>
      <w:pPr>
        <w:pStyle w:val="Normal"/>
        <w:rPr>
          <w:rFonts w:ascii="Arial" w:hAnsi="Arial" w:cs="Arial"/>
          <w:sz w:val="16"/>
        </w:rPr>
      </w:pPr>
      <w:r>
        <w:rPr>
          <w:rFonts w:cs="Arial" w:ascii="Arial" w:hAnsi="Arial"/>
          <w:sz w:val="16"/>
        </w:rPr>
      </w:r>
    </w:p>
    <w:p>
      <w:pPr>
        <w:pStyle w:val="Normal"/>
        <w:rPr/>
      </w:pPr>
      <w:r>
        <w:rPr>
          <w:rFonts w:cs="Arial" w:ascii="Arial" w:hAnsi="Arial"/>
          <w:b/>
          <w:sz w:val="24"/>
        </w:rPr>
        <w:t xml:space="preserve">Discussion: </w:t>
      </w:r>
      <w:r>
        <w:rPr>
          <w:rFonts w:cs="Arial" w:ascii="Arial" w:hAnsi="Arial"/>
          <w:sz w:val="24"/>
        </w:rPr>
        <w:t>Many issues are included in the default provider service arena. Some of the big questions are:</w:t>
      </w:r>
    </w:p>
    <w:p>
      <w:pPr>
        <w:pStyle w:val="Normal"/>
        <w:rPr>
          <w:rFonts w:ascii="Arial" w:hAnsi="Arial" w:cs="Arial"/>
          <w:sz w:val="24"/>
        </w:rPr>
      </w:pPr>
      <w:r>
        <w:rPr>
          <w:rFonts w:cs="Arial" w:ascii="Arial" w:hAnsi="Arial"/>
          <w:sz w:val="24"/>
        </w:rPr>
      </w:r>
    </w:p>
    <w:p>
      <w:pPr>
        <w:pStyle w:val="Normal"/>
        <w:numPr>
          <w:ilvl w:val="0"/>
          <w:numId w:val="3"/>
        </w:numPr>
        <w:rPr>
          <w:rFonts w:ascii="Arial" w:hAnsi="Arial" w:cs="Arial"/>
          <w:sz w:val="24"/>
        </w:rPr>
      </w:pPr>
      <w:r>
        <w:rPr>
          <w:rFonts w:cs="Arial" w:ascii="Arial" w:hAnsi="Arial"/>
          <w:sz w:val="24"/>
        </w:rPr>
        <w:t xml:space="preserve">If and how to draw a distinction between small and large customers? There were several ideas expressed about how best to do this such as core and non-core customers in the natural gas industry or requiring large customers to sign a set contract so utilities will know how much energy to procure. </w:t>
      </w:r>
    </w:p>
    <w:p>
      <w:pPr>
        <w:pStyle w:val="Normal"/>
        <w:ind w:start="360" w:end="0"/>
        <w:rPr>
          <w:rFonts w:ascii="Arial" w:hAnsi="Arial" w:cs="Arial"/>
          <w:sz w:val="24"/>
        </w:rPr>
      </w:pPr>
      <w:r>
        <w:rPr>
          <w:rFonts w:cs="Arial" w:ascii="Arial" w:hAnsi="Arial"/>
          <w:sz w:val="24"/>
        </w:rPr>
      </w:r>
    </w:p>
    <w:p>
      <w:pPr>
        <w:pStyle w:val="Normal"/>
        <w:numPr>
          <w:ilvl w:val="0"/>
          <w:numId w:val="3"/>
        </w:numPr>
        <w:rPr>
          <w:rFonts w:ascii="Arial" w:hAnsi="Arial" w:cs="Arial"/>
          <w:sz w:val="24"/>
        </w:rPr>
      </w:pPr>
      <w:r>
        <w:rPr>
          <w:rFonts w:cs="Arial" w:ascii="Arial" w:hAnsi="Arial"/>
          <w:sz w:val="24"/>
        </w:rPr>
        <w:t>Will the Legislature and Administration accept a different role for utilities?</w:t>
      </w:r>
      <w:r>
        <w:rPr>
          <w:rFonts w:cs="Arial" w:ascii="Arial" w:hAnsi="Arial"/>
          <w:b/>
          <w:sz w:val="24"/>
        </w:rPr>
        <w:t xml:space="preserve"> </w:t>
      </w:r>
      <w:r>
        <w:rPr>
          <w:rFonts w:cs="Arial" w:ascii="Arial" w:hAnsi="Arial"/>
          <w:sz w:val="24"/>
        </w:rPr>
        <w:t xml:space="preserve">It will be possible if we give policymakers comfort that the social safety net would continue to exist. </w:t>
      </w:r>
    </w:p>
    <w:p>
      <w:pPr>
        <w:pStyle w:val="Normal"/>
        <w:rPr>
          <w:rFonts w:ascii="Arial" w:hAnsi="Arial" w:cs="Arial"/>
          <w:sz w:val="24"/>
        </w:rPr>
      </w:pPr>
      <w:r>
        <w:rPr>
          <w:rFonts w:cs="Arial" w:ascii="Arial" w:hAnsi="Arial"/>
          <w:sz w:val="24"/>
        </w:rPr>
      </w:r>
    </w:p>
    <w:p>
      <w:pPr>
        <w:pStyle w:val="Normal"/>
        <w:numPr>
          <w:ilvl w:val="0"/>
          <w:numId w:val="3"/>
        </w:numPr>
        <w:rPr>
          <w:rFonts w:ascii="Arial" w:hAnsi="Arial" w:cs="Arial"/>
          <w:sz w:val="24"/>
        </w:rPr>
      </w:pPr>
      <w:r>
        <w:rPr>
          <w:rFonts w:cs="Arial" w:ascii="Arial" w:hAnsi="Arial"/>
          <w:sz w:val="24"/>
        </w:rPr>
        <w:t xml:space="preserve">Should we develop incentives for utility companies to do a better job for their customers as part of default provider service? </w:t>
      </w:r>
    </w:p>
    <w:p>
      <w:pPr>
        <w:pStyle w:val="Normal"/>
        <w:ind w:start="360" w:end="0"/>
        <w:rPr>
          <w:rFonts w:ascii="Arial" w:hAnsi="Arial" w:cs="Arial"/>
          <w:sz w:val="24"/>
        </w:rPr>
      </w:pPr>
      <w:r>
        <w:rPr>
          <w:rFonts w:cs="Arial" w:ascii="Arial" w:hAnsi="Arial"/>
          <w:sz w:val="24"/>
        </w:rPr>
      </w:r>
    </w:p>
    <w:p>
      <w:pPr>
        <w:pStyle w:val="Normal"/>
        <w:numPr>
          <w:ilvl w:val="0"/>
          <w:numId w:val="3"/>
        </w:numPr>
        <w:rPr>
          <w:rFonts w:ascii="Arial" w:hAnsi="Arial" w:cs="Arial"/>
          <w:sz w:val="24"/>
        </w:rPr>
      </w:pPr>
      <w:r>
        <w:rPr>
          <w:rFonts w:cs="Arial" w:ascii="Arial" w:hAnsi="Arial"/>
          <w:sz w:val="24"/>
        </w:rPr>
        <w:t>Should the utility role be to provide all customers with several portfolio options on an objective basis for “green power”,  “fixed price, fixed term”, etc. that could be offered by multiple vendors?</w:t>
      </w:r>
    </w:p>
    <w:p>
      <w:pPr>
        <w:pStyle w:val="Normal"/>
        <w:ind w:start="360" w:end="0"/>
        <w:rPr>
          <w:rFonts w:ascii="Arial" w:hAnsi="Arial" w:cs="Arial"/>
          <w:sz w:val="16"/>
        </w:rPr>
      </w:pPr>
      <w:r>
        <w:rPr>
          <w:rFonts w:cs="Arial" w:ascii="Arial" w:hAnsi="Arial"/>
          <w:sz w:val="16"/>
        </w:rPr>
      </w:r>
    </w:p>
    <w:p>
      <w:pPr>
        <w:pStyle w:val="Normal"/>
        <w:rPr/>
      </w:pPr>
      <w:r>
        <w:rPr>
          <w:rFonts w:cs="Arial" w:ascii="Arial" w:hAnsi="Arial"/>
          <w:b/>
          <w:sz w:val="24"/>
        </w:rPr>
        <w:t xml:space="preserve">Conclusion: </w:t>
      </w:r>
      <w:r>
        <w:rPr>
          <w:rFonts w:cs="Arial" w:ascii="Arial" w:hAnsi="Arial"/>
          <w:sz w:val="24"/>
        </w:rPr>
        <w:t>While there was not agreement on what default provider service should be in the future it needs to be part of any fix to the market. We will have to come up with a new plan if the retail market is to be successful in future years. It is clear that residential and small commercial customers want choices in the future.</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pPr>
      <w:r>
        <w:rPr>
          <w:rFonts w:cs="Arial" w:ascii="Arial" w:hAnsi="Arial"/>
          <w:b/>
          <w:sz w:val="24"/>
          <w:u w:val="single"/>
        </w:rPr>
        <w:t>Issue:</w:t>
      </w:r>
      <w:r>
        <w:rPr>
          <w:rFonts w:cs="Arial" w:ascii="Arial" w:hAnsi="Arial"/>
          <w:sz w:val="24"/>
        </w:rPr>
        <w:t xml:space="preserve"> Demand Responsiveness Programs</w:t>
      </w:r>
    </w:p>
    <w:p>
      <w:pPr>
        <w:pStyle w:val="Normal"/>
        <w:rPr>
          <w:rFonts w:ascii="Arial" w:hAnsi="Arial" w:cs="Arial"/>
          <w:sz w:val="16"/>
        </w:rPr>
      </w:pPr>
      <w:r>
        <w:rPr>
          <w:rFonts w:cs="Arial" w:ascii="Arial" w:hAnsi="Arial"/>
          <w:sz w:val="16"/>
        </w:rPr>
      </w:r>
    </w:p>
    <w:p>
      <w:pPr>
        <w:pStyle w:val="Normal"/>
        <w:rPr/>
      </w:pPr>
      <w:r>
        <w:rPr>
          <w:rFonts w:cs="Arial" w:ascii="Arial" w:hAnsi="Arial"/>
          <w:b/>
          <w:sz w:val="24"/>
        </w:rPr>
        <w:t xml:space="preserve">Discussion: </w:t>
      </w:r>
      <w:r>
        <w:rPr>
          <w:rFonts w:cs="Arial" w:ascii="Arial" w:hAnsi="Arial"/>
          <w:sz w:val="24"/>
        </w:rPr>
        <w:t xml:space="preserve">It was clear that all entities involved in the energy business support the increase of demand responsiveness programs and options for all customers. This is particularly true for large customers whose load reduction can significantly affect the cost of energy for all consumers in times of peak demand and shortage of supply for the State.  </w:t>
      </w:r>
    </w:p>
    <w:p>
      <w:pPr>
        <w:pStyle w:val="Normal"/>
        <w:rPr>
          <w:rFonts w:ascii="Arial" w:hAnsi="Arial" w:cs="Arial"/>
          <w:sz w:val="16"/>
        </w:rPr>
      </w:pPr>
      <w:r>
        <w:rPr>
          <w:rFonts w:cs="Arial" w:ascii="Arial" w:hAnsi="Arial"/>
          <w:sz w:val="16"/>
        </w:rPr>
      </w:r>
    </w:p>
    <w:p>
      <w:pPr>
        <w:pStyle w:val="Normal"/>
        <w:rPr/>
      </w:pPr>
      <w:r>
        <w:rPr>
          <w:rFonts w:cs="Arial" w:ascii="Arial" w:hAnsi="Arial"/>
          <w:b/>
          <w:sz w:val="24"/>
        </w:rPr>
        <w:t xml:space="preserve">Conclusion: </w:t>
      </w:r>
      <w:r>
        <w:rPr>
          <w:rFonts w:cs="Arial" w:ascii="Arial" w:hAnsi="Arial"/>
          <w:sz w:val="24"/>
        </w:rPr>
        <w:t>The Group needs to work together to convince the CPUC and Administration to approve demand responsiveness programs for large customers, including those on current interruptible programs, as soon as possible for Summer 2001 and beyond.</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pPr>
      <w:r>
        <w:rPr>
          <w:rFonts w:cs="Arial" w:ascii="Arial" w:hAnsi="Arial"/>
          <w:b/>
          <w:sz w:val="24"/>
          <w:u w:val="single"/>
        </w:rPr>
        <w:t>Issue</w:t>
      </w:r>
      <w:r>
        <w:rPr>
          <w:rFonts w:cs="Arial" w:ascii="Arial" w:hAnsi="Arial"/>
          <w:b/>
          <w:sz w:val="24"/>
        </w:rPr>
        <w:t>:</w:t>
      </w:r>
      <w:r>
        <w:rPr>
          <w:rFonts w:cs="Arial" w:ascii="Arial" w:hAnsi="Arial"/>
          <w:sz w:val="24"/>
        </w:rPr>
        <w:t xml:space="preserve"> Transmission Upgrades</w:t>
      </w:r>
    </w:p>
    <w:p>
      <w:pPr>
        <w:pStyle w:val="Normal"/>
        <w:rPr>
          <w:rFonts w:ascii="Arial" w:hAnsi="Arial" w:cs="Arial"/>
          <w:sz w:val="16"/>
        </w:rPr>
      </w:pPr>
      <w:r>
        <w:rPr>
          <w:rFonts w:cs="Arial" w:ascii="Arial" w:hAnsi="Arial"/>
          <w:sz w:val="16"/>
        </w:rPr>
      </w:r>
    </w:p>
    <w:p>
      <w:pPr>
        <w:pStyle w:val="Normal"/>
        <w:rPr/>
      </w:pPr>
      <w:r>
        <w:rPr>
          <w:rFonts w:cs="Arial" w:ascii="Arial" w:hAnsi="Arial"/>
          <w:b/>
          <w:sz w:val="24"/>
        </w:rPr>
        <w:t>Discussion:</w:t>
      </w:r>
      <w:r>
        <w:rPr>
          <w:rFonts w:cs="Arial" w:ascii="Arial" w:hAnsi="Arial"/>
          <w:sz w:val="24"/>
        </w:rPr>
        <w:t xml:space="preserve"> Transmission upgrades are a vital part of reliable electric service. Many upgrades are necessary and they are clearly defined. The problem exists in moving these upgrades along. Problems exist between the ISO and the CPUC disagreeing over transmission upgrades that are holding up the ultimate work being done, an example is the Tri Valley project. Another problem exists in the rampant “NIMBYism” in all parts of the State. SDG&amp;E is urging the State to take an active and aggressive role in getting the message to all Californians about the importance of transmission upgrades to the overall system and the consequences of not building need projects. Another issue involves the meaningful participation of the public power agency’s transmission as a part of the planning process.</w:t>
      </w:r>
    </w:p>
    <w:p>
      <w:pPr>
        <w:pStyle w:val="Normal"/>
        <w:rPr>
          <w:rFonts w:ascii="Arial" w:hAnsi="Arial" w:cs="Arial"/>
          <w:sz w:val="16"/>
        </w:rPr>
      </w:pPr>
      <w:r>
        <w:rPr>
          <w:rFonts w:cs="Arial" w:ascii="Arial" w:hAnsi="Arial"/>
          <w:sz w:val="16"/>
        </w:rPr>
      </w:r>
    </w:p>
    <w:p>
      <w:pPr>
        <w:pStyle w:val="Normal"/>
        <w:rPr/>
      </w:pPr>
      <w:r>
        <w:rPr>
          <w:rFonts w:cs="Arial" w:ascii="Arial" w:hAnsi="Arial"/>
          <w:b/>
          <w:sz w:val="24"/>
        </w:rPr>
        <w:t>Conclusion:</w:t>
      </w:r>
      <w:r>
        <w:rPr>
          <w:rFonts w:cs="Arial" w:ascii="Arial" w:hAnsi="Arial"/>
          <w:sz w:val="24"/>
        </w:rPr>
        <w:t xml:space="preserve"> We need to rationalize transmission planning – regardless of who ultimately makes the decision.  The Governor’s Office is clearly looking at consolidating the decision-making process. Also we need to work with the Administration in developing a campaign to inform all customers of the importance of transmission upgrades and the cost to the “greater good” if these projects do </w:t>
      </w:r>
      <w:r>
        <w:rPr>
          <w:rFonts w:cs="Arial" w:ascii="Arial" w:hAnsi="Arial"/>
          <w:i/>
          <w:iCs/>
          <w:sz w:val="24"/>
        </w:rPr>
        <w:t xml:space="preserve">not </w:t>
      </w:r>
      <w:r>
        <w:rPr>
          <w:rFonts w:cs="Arial" w:ascii="Arial" w:hAnsi="Arial"/>
          <w:sz w:val="24"/>
        </w:rPr>
        <w:t>go forward.</w:t>
      </w:r>
    </w:p>
    <w:p>
      <w:pPr>
        <w:pStyle w:val="Normal"/>
        <w:rPr>
          <w:rFonts w:ascii="Arial" w:hAnsi="Arial" w:cs="Arial"/>
          <w:sz w:val="24"/>
        </w:rPr>
      </w:pPr>
      <w:r>
        <w:rPr>
          <w:rFonts w:cs="Arial" w:ascii="Arial" w:hAnsi="Arial"/>
          <w:sz w:val="24"/>
        </w:rPr>
      </w:r>
    </w:p>
    <w:p>
      <w:pPr>
        <w:pStyle w:val="Heading6"/>
        <w:ind w:hanging="0" w:start="0"/>
        <w:rPr>
          <w:b w:val="false"/>
          <w:i w:val="false"/>
          <w:i w:val="false"/>
          <w:sz w:val="28"/>
        </w:rPr>
      </w:pPr>
      <w:r>
        <w:rPr>
          <w:sz w:val="28"/>
        </w:rPr>
        <w:t>Group Actions</w:t>
      </w:r>
    </w:p>
    <w:p>
      <w:pPr>
        <w:pStyle w:val="Normal"/>
        <w:rPr>
          <w:b/>
          <w:i/>
          <w:i/>
          <w:sz w:val="28"/>
        </w:rPr>
      </w:pPr>
      <w:r>
        <w:rPr>
          <w:b/>
          <w:i/>
          <w:sz w:val="28"/>
        </w:rPr>
      </w:r>
    </w:p>
    <w:p>
      <w:pPr>
        <w:pStyle w:val="BodyText"/>
        <w:numPr>
          <w:ilvl w:val="0"/>
          <w:numId w:val="4"/>
        </w:numPr>
        <w:ind w:hanging="396" w:start="540" w:end="0"/>
        <w:rPr>
          <w:rFonts w:ascii="Arial" w:hAnsi="Arial" w:cs="Arial"/>
        </w:rPr>
      </w:pPr>
      <w:r>
        <w:rPr>
          <w:rFonts w:cs="Arial" w:ascii="Arial" w:hAnsi="Arial"/>
        </w:rPr>
        <w:t>Bring in PX Market Monitoring Committee representative to discuss why price caps increase prices in PX Market and other market observations. We will be requesting that Edison set up a presentation of their recently released study done by Joskow/Kahn of the recent changes in the California electric market.</w:t>
      </w:r>
    </w:p>
    <w:p>
      <w:pPr>
        <w:pStyle w:val="Normal"/>
        <w:rPr>
          <w:rFonts w:ascii="Arial" w:hAnsi="Arial" w:cs="Arial"/>
          <w:sz w:val="24"/>
        </w:rPr>
      </w:pPr>
      <w:r>
        <w:rPr>
          <w:rFonts w:cs="Arial" w:ascii="Arial" w:hAnsi="Arial"/>
          <w:sz w:val="24"/>
        </w:rPr>
      </w:r>
    </w:p>
    <w:p>
      <w:pPr>
        <w:pStyle w:val="BodyText"/>
        <w:numPr>
          <w:ilvl w:val="0"/>
          <w:numId w:val="4"/>
        </w:numPr>
        <w:tabs>
          <w:tab w:val="clear" w:pos="720"/>
          <w:tab w:val="left" w:pos="540" w:leader="none"/>
        </w:tabs>
        <w:rPr>
          <w:rFonts w:ascii="Arial" w:hAnsi="Arial" w:cs="Arial"/>
        </w:rPr>
      </w:pPr>
      <w:r>
        <w:rPr>
          <w:rFonts w:cs="Arial" w:ascii="Arial" w:hAnsi="Arial"/>
        </w:rPr>
        <w:t xml:space="preserve">Create presentation/video of Terry Winter’s explanation of recent Stage 2 emergencies </w:t>
      </w:r>
    </w:p>
    <w:p>
      <w:pPr>
        <w:pStyle w:val="BodyText"/>
        <w:ind w:firstLine="432" w:end="0"/>
        <w:rPr>
          <w:rFonts w:ascii="Arial" w:hAnsi="Arial" w:cs="Arial"/>
        </w:rPr>
      </w:pPr>
      <w:r>
        <w:rPr>
          <w:rFonts w:eastAsia="Arial" w:cs="Arial" w:ascii="Arial" w:hAnsi="Arial"/>
        </w:rPr>
        <w:t xml:space="preserve">  </w:t>
      </w:r>
      <w:r>
        <w:rPr>
          <w:rFonts w:cs="Arial" w:ascii="Arial" w:hAnsi="Arial"/>
        </w:rPr>
        <w:t xml:space="preserve">and how these events illustrate the overall problem of supply shortages that currently </w:t>
      </w:r>
    </w:p>
    <w:p>
      <w:pPr>
        <w:pStyle w:val="BodyText"/>
        <w:ind w:firstLine="432" w:end="0"/>
        <w:rPr>
          <w:rFonts w:ascii="Arial" w:hAnsi="Arial" w:cs="Arial"/>
        </w:rPr>
      </w:pPr>
      <w:r>
        <w:rPr>
          <w:rFonts w:eastAsia="Arial" w:cs="Arial" w:ascii="Arial" w:hAnsi="Arial"/>
        </w:rPr>
        <w:t xml:space="preserve">  </w:t>
      </w:r>
      <w:r>
        <w:rPr>
          <w:rFonts w:cs="Arial" w:ascii="Arial" w:hAnsi="Arial"/>
        </w:rPr>
        <w:t xml:space="preserve">exist and will continue through 2001 and beyond. We will need to compare and contrast   </w:t>
      </w:r>
    </w:p>
    <w:p>
      <w:pPr>
        <w:pStyle w:val="BodyText"/>
        <w:ind w:firstLine="432" w:end="0"/>
        <w:rPr>
          <w:rFonts w:ascii="Arial" w:hAnsi="Arial" w:cs="Arial"/>
        </w:rPr>
      </w:pPr>
      <w:r>
        <w:rPr>
          <w:rFonts w:eastAsia="Arial" w:cs="Arial" w:ascii="Arial" w:hAnsi="Arial"/>
        </w:rPr>
        <w:t xml:space="preserve">  </w:t>
      </w:r>
      <w:r>
        <w:rPr>
          <w:rFonts w:cs="Arial" w:ascii="Arial" w:hAnsi="Arial"/>
        </w:rPr>
        <w:t xml:space="preserve">the CA ISO projections with the CEC report, and evaluate the differences as a part of  </w:t>
      </w:r>
    </w:p>
    <w:p>
      <w:pPr>
        <w:pStyle w:val="BodyText"/>
        <w:ind w:firstLine="432" w:end="0"/>
        <w:rPr>
          <w:rFonts w:ascii="Arial" w:hAnsi="Arial" w:cs="Arial"/>
        </w:rPr>
      </w:pPr>
      <w:r>
        <w:rPr>
          <w:rFonts w:eastAsia="Arial" w:cs="Arial" w:ascii="Arial" w:hAnsi="Arial"/>
        </w:rPr>
        <w:t xml:space="preserve">  </w:t>
      </w:r>
      <w:r>
        <w:rPr>
          <w:rFonts w:cs="Arial" w:ascii="Arial" w:hAnsi="Arial"/>
        </w:rPr>
        <w:t>this exercise.</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Heading5"/>
        <w:pBdr>
          <w:top w:val="single" w:sz="4" w:space="1" w:color="000000"/>
          <w:left w:val="single" w:sz="4" w:space="4" w:color="000000"/>
          <w:bottom w:val="single" w:sz="4" w:space="1" w:color="000000"/>
          <w:right w:val="single" w:sz="4" w:space="4" w:color="000000"/>
        </w:pBdr>
        <w:ind w:hanging="0" w:start="0"/>
        <w:rPr>
          <w:sz w:val="28"/>
          <w:u w:val="none"/>
        </w:rPr>
      </w:pPr>
      <w:r>
        <w:rPr>
          <w:sz w:val="28"/>
          <w:u w:val="none"/>
        </w:rPr>
        <w:t>Group Business Discussion</w:t>
      </w:r>
    </w:p>
    <w:p>
      <w:pPr>
        <w:pStyle w:val="Normal"/>
        <w:rPr>
          <w:rFonts w:ascii="Arial" w:hAnsi="Arial" w:cs="Arial"/>
          <w:sz w:val="24"/>
          <w:u w:val="none"/>
        </w:rPr>
      </w:pPr>
      <w:r>
        <w:rPr>
          <w:rFonts w:cs="Arial" w:ascii="Arial" w:hAnsi="Arial"/>
          <w:sz w:val="24"/>
          <w:u w:val="none"/>
        </w:rPr>
      </w:r>
    </w:p>
    <w:p>
      <w:pPr>
        <w:pStyle w:val="Normal"/>
        <w:rPr>
          <w:rFonts w:ascii="Arial" w:hAnsi="Arial" w:cs="Arial"/>
          <w:sz w:val="24"/>
        </w:rPr>
      </w:pPr>
      <w:r>
        <w:rPr>
          <w:rFonts w:cs="Arial" w:ascii="Arial" w:hAnsi="Arial"/>
          <w:sz w:val="24"/>
        </w:rPr>
        <w:t>There was general agreement that we will be continuing the Group for the Year 2001. Dues will remain at the annual level of $3000 per member. The California Chamber of Commerce, Calpine Corporation, Williams Company and Florida Power &amp; Light have indicated they will be joining the Group in the coming year. We will be sending out invoices this week for 2001 dues. TURN will continue to attend and participate in our meetings on a non-paying basis. It was also suggested by the membership that a full day, off site meeting, possibly in late January, would be helpful considering the level of activity expected in the coming year. We will be working with all of you to determine the details of this event. Lastly, we will be conducting some members only meetings throughout the year as requested by several members of the Group.</w:t>
      </w:r>
    </w:p>
    <w:p>
      <w:pPr>
        <w:pStyle w:val="Normal"/>
        <w:rPr>
          <w:rFonts w:ascii="Arial" w:hAnsi="Arial" w:cs="Arial"/>
          <w:sz w:val="24"/>
        </w:rPr>
      </w:pPr>
      <w:r>
        <w:rPr>
          <w:rFonts w:cs="Arial" w:ascii="Arial" w:hAnsi="Arial"/>
          <w:sz w:val="24"/>
        </w:rPr>
      </w:r>
    </w:p>
    <w:p>
      <w:pPr>
        <w:pStyle w:val="Normal"/>
        <w:rPr/>
      </w:pPr>
      <w:r>
        <w:rPr>
          <w:rFonts w:cs="Arial" w:ascii="Arial" w:hAnsi="Arial"/>
          <w:sz w:val="24"/>
        </w:rPr>
        <w:t xml:space="preserve">As illustrated by the new letterhead and by a vote of the dues paying membership, we have formally changed the name of the group to the </w:t>
      </w:r>
      <w:r>
        <w:rPr>
          <w:rFonts w:cs="Arial" w:ascii="Arial" w:hAnsi="Arial"/>
          <w:b/>
          <w:sz w:val="24"/>
        </w:rPr>
        <w:t>California Energy Solutions Group</w:t>
      </w:r>
      <w:r>
        <w:rPr>
          <w:rFonts w:cs="Arial" w:ascii="Arial" w:hAnsi="Arial"/>
          <w:sz w:val="24"/>
        </w:rPr>
        <w:t>. We believe this name reflects the changing nature of the electrical energy issue, while still maintaining the focus on working towards a successful, healthy energy market in California. We have definitely moved to the next, post AB 1890 level!</w:t>
      </w:r>
    </w:p>
    <w:p>
      <w:pPr>
        <w:pStyle w:val="BodyText"/>
        <w:rPr>
          <w:rFonts w:ascii="Arial" w:hAnsi="Arial" w:cs="Arial"/>
          <w:sz w:val="24"/>
        </w:rPr>
      </w:pPr>
      <w:r>
        <w:rPr>
          <w:rFonts w:cs="Arial" w:ascii="Arial" w:hAnsi="Arial"/>
          <w:sz w:val="24"/>
        </w:rPr>
      </w:r>
    </w:p>
    <w:sectPr>
      <w:headerReference w:type="default" r:id="rId2"/>
      <w:headerReference w:type="first" r:id="rId3"/>
      <w:footerReference w:type="default" r:id="rId4"/>
      <w:footerReference w:type="first" r:id="rId5"/>
      <w:type w:val="nextPage"/>
      <w:pgSz w:w="12240" w:h="15840"/>
      <w:pgMar w:left="1152" w:right="1152" w:gutter="0" w:header="72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45.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40"/>
      </w:rPr>
    </w:pPr>
    <w:r>
      <w:rPr>
        <w:b/>
        <w:sz w:val="40"/>
      </w:rPr>
    </w:r>
  </w:p>
  <w:p>
    <w:pPr>
      <w:pStyle w:val="Header"/>
      <w:rPr>
        <w:b/>
        <w:sz w:val="40"/>
      </w:rPr>
    </w:pPr>
    <w:r>
      <w:rPr>
        <w:b/>
        <w:sz w:val="4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pacing w:val="20"/>
        <w:sz w:val="48"/>
      </w:rPr>
    </w:pPr>
    <w:r>
      <w:rPr>
        <w:b/>
        <w:spacing w:val="20"/>
        <w:sz w:val="48"/>
      </w:rPr>
      <w:t>California Energy Solutions Group</w:t>
    </w:r>
  </w:p>
  <w:p>
    <w:pPr>
      <w:pStyle w:val="Header"/>
      <w:jc w:val="center"/>
      <w:rPr>
        <w:b/>
        <w:spacing w:val="20"/>
        <w:sz w:val="32"/>
        <w:lang w:val="en-CA" w:eastAsia="en-CA"/>
      </w:rPr>
    </w:pPr>
    <w:r>
      <w:rPr>
        <w:b/>
        <w:spacing w:val="20"/>
        <w:sz w:val="32"/>
        <w:lang w:val="en-CA" w:eastAsia="en-CA"/>
      </w:rPr>
      <mc:AlternateContent>
        <mc:Choice Requires="wps">
          <w:drawing>
            <wp:anchor behindDoc="0" distT="0" distB="0" distL="114935" distR="114935" simplePos="0" locked="0" layoutInCell="0" allowOverlap="1" relativeHeight="6">
              <wp:simplePos x="0" y="0"/>
              <wp:positionH relativeFrom="column">
                <wp:posOffset>647700</wp:posOffset>
              </wp:positionH>
              <wp:positionV relativeFrom="paragraph">
                <wp:posOffset>127000</wp:posOffset>
              </wp:positionV>
              <wp:extent cx="5067300" cy="0"/>
              <wp:effectExtent l="0" t="28575" r="0" b="28575"/>
              <wp:wrapTopAndBottom/>
              <wp:docPr id="1" name=""/>
              <a:graphic xmlns:a="http://schemas.openxmlformats.org/drawingml/2006/main">
                <a:graphicData uri="http://schemas.microsoft.com/office/word/2010/wordprocessingShape">
                  <wps:wsp>
                    <wps:cNvSpPr/>
                    <wps:spPr>
                      <a:xfrm>
                        <a:off x="0" y="0"/>
                        <a:ext cx="506736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51pt,10pt" to="449.95pt,10pt" stroked="t" o:allowincell="f" style="position:absolute">
              <v:stroke color="black" weight="57240" joinstyle="miter" endcap="flat"/>
              <v:fill o:detectmouseclick="t" on="false"/>
              <w10:wrap type="topAndBottom"/>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1080"/>
        </w:tabs>
        <w:ind w:start="1080" w:hanging="720"/>
      </w:pPr>
      <w:rPr/>
    </w:lvl>
  </w:abstractNum>
  <w:abstractNum w:abstractNumId="4">
    <w:lvl w:ilvl="0">
      <w:start w:val="1"/>
      <w:numFmt w:val="bullet"/>
      <w:lvlText w:val=""/>
      <w:lvlJc w:val="start"/>
      <w:pPr>
        <w:tabs>
          <w:tab w:val="num" w:pos="504"/>
        </w:tabs>
        <w:ind w:start="432" w:hanging="288"/>
      </w:pPr>
      <w:rPr>
        <w:rFonts w:ascii="Symbol" w:hAnsi="Symbol" w:cs="Symbol" w:hint="default"/>
        <w:color w:val="000000"/>
      </w:rPr>
    </w:lvl>
  </w:abstractNum>
  <w:abstractNum w:abstractNumId="5">
    <w:lvl w:ilvl="0">
      <w:start w:val="1"/>
      <w:numFmt w:val="bullet"/>
      <w:lvlText w:val=""/>
      <w:lvlJc w:val="start"/>
      <w:pPr>
        <w:tabs>
          <w:tab w:val="num" w:pos="504"/>
        </w:tabs>
        <w:ind w:start="504" w:hanging="360"/>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rFonts w:ascii="Palatino" w:hAnsi="Palatino" w:cs="Palatino"/>
      <w:sz w:val="26"/>
    </w:rPr>
  </w:style>
  <w:style w:type="paragraph" w:styleId="Heading3">
    <w:name w:val="heading 3"/>
    <w:basedOn w:val="Normal"/>
    <w:next w:val="Normal"/>
    <w:qFormat/>
    <w:pPr>
      <w:keepNext w:val="true"/>
      <w:numPr>
        <w:ilvl w:val="2"/>
        <w:numId w:val="1"/>
      </w:numPr>
      <w:jc w:val="center"/>
      <w:outlineLvl w:val="2"/>
    </w:pPr>
    <w:rPr>
      <w:sz w:val="24"/>
    </w:rPr>
  </w:style>
  <w:style w:type="paragraph" w:styleId="Heading4">
    <w:name w:val="heading 4"/>
    <w:basedOn w:val="Normal"/>
    <w:next w:val="Normal"/>
    <w:qFormat/>
    <w:pPr>
      <w:keepNext w:val="true"/>
      <w:numPr>
        <w:ilvl w:val="3"/>
        <w:numId w:val="1"/>
      </w:numPr>
      <w:pBdr>
        <w:bottom w:val="single" w:sz="4" w:space="1" w:color="000000"/>
      </w:pBdr>
      <w:outlineLvl w:val="3"/>
    </w:pPr>
    <w:rPr>
      <w:rFonts w:ascii="Arial" w:hAnsi="Arial" w:cs="Arial"/>
      <w:b/>
      <w:bCs/>
      <w:i/>
      <w:iCs/>
      <w:sz w:val="24"/>
    </w:rPr>
  </w:style>
  <w:style w:type="paragraph" w:styleId="Heading5">
    <w:name w:val="heading 5"/>
    <w:basedOn w:val="Normal"/>
    <w:next w:val="Normal"/>
    <w:qFormat/>
    <w:pPr>
      <w:keepNext w:val="true"/>
      <w:numPr>
        <w:ilvl w:val="4"/>
        <w:numId w:val="1"/>
      </w:numPr>
      <w:outlineLvl w:val="4"/>
    </w:pPr>
    <w:rPr>
      <w:rFonts w:ascii="Arial" w:hAnsi="Arial" w:cs="Arial"/>
      <w:b/>
      <w:bCs/>
      <w:i/>
      <w:iCs/>
      <w:sz w:val="24"/>
      <w:u w:val="single"/>
    </w:rPr>
  </w:style>
  <w:style w:type="paragraph" w:styleId="Heading6">
    <w:name w:val="heading 6"/>
    <w:basedOn w:val="Normal"/>
    <w:next w:val="Normal"/>
    <w:qFormat/>
    <w:pPr>
      <w:keepNext w:val="true"/>
      <w:numPr>
        <w:ilvl w:val="5"/>
        <w:numId w:val="1"/>
      </w:numPr>
      <w:pBdr>
        <w:top w:val="single" w:sz="4" w:space="1" w:color="000000"/>
        <w:left w:val="single" w:sz="4" w:space="4" w:color="000000"/>
        <w:bottom w:val="single" w:sz="4" w:space="1" w:color="000000"/>
        <w:right w:val="single" w:sz="4" w:space="4" w:color="000000"/>
      </w:pBdr>
      <w:outlineLvl w:val="5"/>
    </w:pPr>
    <w:rPr>
      <w:rFonts w:ascii="Arial" w:hAnsi="Arial" w:cs="Arial"/>
      <w:b/>
      <w:bCs/>
      <w:i/>
      <w:iCs/>
      <w:sz w:val="24"/>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2000-11-16T21:41:00Z</dcterms:created>
  <dc:creator>Suzanne Tanner</dc:creator>
  <dc:description/>
  <dc:language>en-CA</dc:language>
  <cp:lastModifiedBy>D.J. Smith</cp:lastModifiedBy>
  <cp:lastPrinted>2000-11-28T18:28:00Z</cp:lastPrinted>
  <dcterms:modified xsi:type="dcterms:W3CDTF">2000-11-29T00:29:00Z</dcterms:modified>
  <cp:revision>28</cp:revision>
  <dc:subject/>
  <dc:title>September 7, 1999</dc:title>
</cp:coreProperties>
</file>