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Summary Paragraph for Letter:</w:t>
      </w:r>
    </w:p>
    <w:p>
      <w:pPr>
        <w:pStyle w:val="Normal"/>
        <w:rPr/>
      </w:pPr>
      <w:r>
        <w:rPr/>
      </w:r>
    </w:p>
    <w:p>
      <w:pPr>
        <w:pStyle w:val="Normal"/>
        <w:rPr/>
      </w:pPr>
      <w:r>
        <w:rPr/>
      </w:r>
    </w:p>
    <w:p>
      <w:pPr>
        <w:pStyle w:val="Normal"/>
        <w:rPr/>
      </w:pPr>
      <w:r>
        <w:rPr/>
        <w:t>The gas that Citrus buys from Duke is scheduled and confirmed by Duke on Florida Gas Transmission (“FGT”) to various transportation contracts on a daily basis.  The volumes sold can be traced to consumers of natural gas who generate power in Florida.   It is well known within the natural gas industry, which obviously includes Duke, that the FGT tariff is a postage stamp structure and the FGT market area indices have consistently exceeded the FGT production area indices.  Therefore, gas nominated on FGT must, based upon these and other prevailing economic factors, be transported and sold to consumers in Florida.  In other words, there is no reasonable or economical place for the gas to flow, other than the Florida market area.  It is also well known by everyone in the industry that virtually all of the natural gas demand in Florida is for use in power generation.  I assume Duke’s trading company, like everyone else, is well aware of these facts.</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2000-12-11T19:57:00Z</dcterms:created>
  <dc:creator>Eric Boyt</dc:creator>
  <dc:description/>
  <dc:language>en-CA</dc:language>
  <cp:lastModifiedBy>bredmon</cp:lastModifiedBy>
  <cp:lastPrinted>2000-12-11T16:26:00Z</cp:lastPrinted>
  <dcterms:modified xsi:type="dcterms:W3CDTF">2000-12-11T19:57:00Z</dcterms:modified>
  <cp:revision>2</cp:revision>
  <dc:subject/>
  <dc:title>Summary Paragraph for LetterL</dc:title>
</cp:coreProperties>
</file>