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pPr>
      <w:r>
        <w:rPr/>
        <w:t xml:space="preserve">A Summary of </w:t>
      </w:r>
      <w:r>
        <w:rPr>
          <w:i/>
        </w:rPr>
        <w:t>Fixing What is Broken:  What Steps Should FERC Take to Complete California’s Power Markets?</w:t>
      </w:r>
    </w:p>
    <w:p>
      <w:pPr>
        <w:pStyle w:val="Normal"/>
        <w:spacing w:before="0" w:after="120"/>
        <w:rPr>
          <w:i/>
          <w:i/>
        </w:rPr>
      </w:pPr>
      <w:r>
        <w:rPr>
          <w:i/>
        </w:rPr>
      </w:r>
    </w:p>
    <w:p>
      <w:pPr>
        <w:pStyle w:val="Normal"/>
        <w:numPr>
          <w:ilvl w:val="0"/>
          <w:numId w:val="18"/>
        </w:numPr>
        <w:spacing w:before="0" w:after="120"/>
        <w:rPr/>
      </w:pPr>
      <w:r>
        <w:rPr/>
        <w:t>Introduction</w:t>
      </w:r>
    </w:p>
    <w:p>
      <w:pPr>
        <w:pStyle w:val="Normal"/>
        <w:numPr>
          <w:ilvl w:val="0"/>
          <w:numId w:val="32"/>
        </w:numPr>
        <w:spacing w:before="0" w:after="120"/>
        <w:rPr/>
      </w:pPr>
      <w:r>
        <w:rPr/>
        <w:t>Market information is essential to the efficient operation of the market.</w:t>
      </w:r>
    </w:p>
    <w:p>
      <w:pPr>
        <w:pStyle w:val="Normal"/>
        <w:numPr>
          <w:ilvl w:val="0"/>
          <w:numId w:val="32"/>
        </w:numPr>
        <w:spacing w:before="0" w:after="120"/>
        <w:rPr/>
      </w:pPr>
      <w:r>
        <w:rPr/>
        <w:t xml:space="preserve">The ISO cannot be effective as a market institution because its governance is dominated by market participants. </w:t>
      </w:r>
    </w:p>
    <w:p>
      <w:pPr>
        <w:pStyle w:val="Normal"/>
        <w:numPr>
          <w:ilvl w:val="0"/>
          <w:numId w:val="32"/>
        </w:numPr>
        <w:spacing w:before="0" w:after="120"/>
        <w:rPr/>
      </w:pPr>
      <w:r>
        <w:rPr/>
        <w:t>Policy decisions have greatly limited the number of buyers of electricity, and have unduly constrained the manner of their participation in the marketplace.</w:t>
      </w:r>
    </w:p>
    <w:p>
      <w:pPr>
        <w:pStyle w:val="Normal"/>
        <w:numPr>
          <w:ilvl w:val="0"/>
          <w:numId w:val="32"/>
        </w:numPr>
        <w:spacing w:before="0" w:after="120"/>
        <w:rPr/>
      </w:pPr>
      <w:r>
        <w:rPr/>
        <w:t>Demand price signals are nearly absent from the wholesale market.</w:t>
      </w:r>
    </w:p>
    <w:p>
      <w:pPr>
        <w:pStyle w:val="Normal"/>
        <w:numPr>
          <w:ilvl w:val="0"/>
          <w:numId w:val="32"/>
        </w:numPr>
        <w:spacing w:before="0" w:after="120"/>
        <w:rPr/>
      </w:pPr>
      <w:r>
        <w:rPr/>
        <w:t>The market structure has prevented risks from being managed efficiently, and has instead allocated them all to customers and all purchases and sales have been forced through this market, to the detriment of efficiency and customers.</w:t>
      </w:r>
    </w:p>
    <w:p>
      <w:pPr>
        <w:pStyle w:val="Normal"/>
        <w:numPr>
          <w:ilvl w:val="0"/>
          <w:numId w:val="32"/>
        </w:numPr>
        <w:spacing w:before="0" w:after="120"/>
        <w:rPr/>
      </w:pPr>
      <w:r>
        <w:rPr/>
        <w:t>Finally, in a real market, prices reflect scarcity where it exists.</w:t>
      </w:r>
    </w:p>
    <w:p>
      <w:pPr>
        <w:pStyle w:val="Normal"/>
        <w:numPr>
          <w:ilvl w:val="0"/>
          <w:numId w:val="18"/>
        </w:numPr>
        <w:spacing w:before="0" w:after="120"/>
        <w:rPr/>
      </w:pPr>
      <w:r>
        <w:rPr/>
        <w:t>FERC and state authorities need to address four issues.</w:t>
      </w:r>
    </w:p>
    <w:p>
      <w:pPr>
        <w:pStyle w:val="Normal"/>
        <w:numPr>
          <w:ilvl w:val="0"/>
          <w:numId w:val="9"/>
        </w:numPr>
        <w:spacing w:before="0" w:after="120"/>
        <w:rPr/>
      </w:pPr>
      <w:r>
        <w:rPr/>
        <w:t xml:space="preserve">FERC can improve the efficiency of the market by improving the quantity and quality of transmission and operational data released to participants. </w:t>
      </w:r>
    </w:p>
    <w:p>
      <w:pPr>
        <w:pStyle w:val="Normal"/>
        <w:numPr>
          <w:ilvl w:val="0"/>
          <w:numId w:val="9"/>
        </w:numPr>
        <w:spacing w:before="0" w:after="120"/>
        <w:rPr/>
      </w:pPr>
      <w:r>
        <w:rPr/>
        <w:t>FERC should change the governance to a truly independent RTO, to make the ISO more efficient.</w:t>
      </w:r>
    </w:p>
    <w:p>
      <w:pPr>
        <w:pStyle w:val="Normal"/>
        <w:numPr>
          <w:ilvl w:val="0"/>
          <w:numId w:val="9"/>
        </w:numPr>
        <w:spacing w:before="0" w:after="120"/>
        <w:rPr/>
      </w:pPr>
      <w:r>
        <w:rPr/>
        <w:t>Forward markets and proper scheduling in the day ahead market are critical for market efficiency and competitiveness.</w:t>
      </w:r>
    </w:p>
    <w:p>
      <w:pPr>
        <w:pStyle w:val="Normal"/>
        <w:numPr>
          <w:ilvl w:val="0"/>
          <w:numId w:val="9"/>
        </w:numPr>
        <w:spacing w:before="0" w:after="120"/>
        <w:rPr/>
      </w:pPr>
      <w:r>
        <w:rPr/>
        <w:t>FERC should get rid of price caps to ensure that its policies do not hinder the needed investment.</w:t>
      </w:r>
    </w:p>
    <w:p>
      <w:pPr>
        <w:pStyle w:val="Normal"/>
        <w:numPr>
          <w:ilvl w:val="0"/>
          <w:numId w:val="18"/>
        </w:numPr>
        <w:spacing w:before="0" w:after="120"/>
        <w:rPr/>
      </w:pPr>
      <w:r>
        <w:rPr/>
        <w:t>Forward Markets</w:t>
      </w:r>
    </w:p>
    <w:p>
      <w:pPr>
        <w:pStyle w:val="Normal"/>
        <w:numPr>
          <w:ilvl w:val="0"/>
          <w:numId w:val="21"/>
        </w:numPr>
        <w:spacing w:before="0" w:after="120"/>
        <w:rPr/>
      </w:pPr>
      <w:r>
        <w:rPr/>
        <w:t>Forward Markets are a critical component of a competitive wholesale electricity market.</w:t>
      </w:r>
    </w:p>
    <w:p>
      <w:pPr>
        <w:pStyle w:val="Normal"/>
        <w:numPr>
          <w:ilvl w:val="0"/>
          <w:numId w:val="6"/>
        </w:numPr>
        <w:tabs>
          <w:tab w:val="clear" w:pos="720"/>
          <w:tab w:val="left" w:pos="2160" w:leader="none"/>
        </w:tabs>
        <w:spacing w:before="0" w:after="120"/>
        <w:ind w:hanging="720" w:start="2160" w:end="0"/>
        <w:rPr/>
      </w:pPr>
      <w:r>
        <w:rPr/>
        <w:t>Forward markets improve competitiveness by increasing the incentive of contracted generating units to compete aggressively in spot markets, thereby reducing the ability of market participants to dictate the market clearing price.</w:t>
      </w:r>
    </w:p>
    <w:p>
      <w:pPr>
        <w:pStyle w:val="Normal"/>
        <w:numPr>
          <w:ilvl w:val="0"/>
          <w:numId w:val="6"/>
        </w:numPr>
        <w:tabs>
          <w:tab w:val="clear" w:pos="720"/>
          <w:tab w:val="left" w:pos="2160" w:leader="none"/>
        </w:tabs>
        <w:spacing w:before="0" w:after="120"/>
        <w:ind w:hanging="720" w:start="2160" w:end="0"/>
        <w:rPr/>
      </w:pPr>
      <w:r>
        <w:rPr/>
        <w:t>Forward markets avoid the “last MW on the shelf” buying problem that can occur when sellers have perfect or near-perfect information about the exact level of demand, and when demand is inelastic or nearly so.</w:t>
      </w:r>
    </w:p>
    <w:p>
      <w:pPr>
        <w:pStyle w:val="Normal"/>
        <w:numPr>
          <w:ilvl w:val="0"/>
          <w:numId w:val="6"/>
        </w:numPr>
        <w:tabs>
          <w:tab w:val="clear" w:pos="720"/>
          <w:tab w:val="left" w:pos="2160" w:leader="none"/>
        </w:tabs>
        <w:spacing w:before="0" w:after="120"/>
        <w:ind w:hanging="720" w:start="2160" w:end="0"/>
        <w:rPr/>
      </w:pPr>
      <w:r>
        <w:rPr/>
        <w:t>Forward markets create price signals that guide consumers in the timing of their use of electricity and investors in their decisions regarding the profitability of a proposed generation project.</w:t>
      </w:r>
    </w:p>
    <w:p>
      <w:pPr>
        <w:pStyle w:val="Normal"/>
        <w:numPr>
          <w:ilvl w:val="0"/>
          <w:numId w:val="6"/>
        </w:numPr>
        <w:tabs>
          <w:tab w:val="clear" w:pos="720"/>
          <w:tab w:val="left" w:pos="2160" w:leader="none"/>
        </w:tabs>
        <w:spacing w:before="0" w:after="120"/>
        <w:ind w:hanging="720" w:start="2160" w:end="0"/>
        <w:rPr/>
      </w:pPr>
      <w:r>
        <w:rPr/>
        <w:t>Forward markets aid in price discovery as non-public information (e.g., of suppliers) is reflected in futures prices, where it is observable to other participants.  This price discovery particularly benefits smaller market players that would not otherwise have the information that is available to larger market players.</w:t>
      </w:r>
    </w:p>
    <w:p>
      <w:pPr>
        <w:pStyle w:val="Normal"/>
        <w:numPr>
          <w:ilvl w:val="0"/>
          <w:numId w:val="21"/>
        </w:numPr>
        <w:spacing w:before="0" w:after="120"/>
        <w:rPr/>
      </w:pPr>
      <w:r>
        <w:rPr/>
        <w:t>California’s regulatory constraints and incentives have prevented the development of a robust forward market.</w:t>
      </w:r>
    </w:p>
    <w:p>
      <w:pPr>
        <w:pStyle w:val="Normal"/>
        <w:numPr>
          <w:ilvl w:val="0"/>
          <w:numId w:val="37"/>
        </w:numPr>
        <w:tabs>
          <w:tab w:val="clear" w:pos="720"/>
          <w:tab w:val="left" w:pos="2160" w:leader="none"/>
        </w:tabs>
        <w:spacing w:before="0" w:after="120"/>
        <w:ind w:hanging="720" w:start="2160" w:end="0"/>
        <w:rPr/>
      </w:pPr>
      <w:r>
        <w:rPr/>
        <w:t>Until recently, the CPUC required UDCs to procure power for their default customers – the vast majority of load – from the Power Exchange’s (PX’s) day-ahead market and subsequent markets.  The CPUC has only partially removed this requirement.</w:t>
      </w:r>
    </w:p>
    <w:p>
      <w:pPr>
        <w:pStyle w:val="Normal"/>
        <w:numPr>
          <w:ilvl w:val="0"/>
          <w:numId w:val="37"/>
        </w:numPr>
        <w:tabs>
          <w:tab w:val="clear" w:pos="720"/>
          <w:tab w:val="left" w:pos="2160" w:leader="none"/>
        </w:tabs>
        <w:spacing w:before="0" w:after="120"/>
        <w:ind w:hanging="720" w:start="2160" w:end="0"/>
        <w:rPr/>
      </w:pPr>
      <w:r>
        <w:rPr/>
        <w:t>The retail rate freeze, in conjunction with the CTC mechanism, has ensured that customers have not migrated into retail markets, where forward contracting by energy service providers (ESPs) would be a de facto operational requirement used by ESPs to protect slim retailing margins.</w:t>
      </w:r>
    </w:p>
    <w:p>
      <w:pPr>
        <w:pStyle w:val="Normal"/>
        <w:numPr>
          <w:ilvl w:val="0"/>
          <w:numId w:val="37"/>
        </w:numPr>
        <w:tabs>
          <w:tab w:val="clear" w:pos="720"/>
          <w:tab w:val="left" w:pos="2160" w:leader="none"/>
        </w:tabs>
        <w:spacing w:before="0" w:after="120"/>
        <w:ind w:hanging="720" w:start="2160" w:end="0"/>
        <w:rPr/>
      </w:pPr>
      <w:r>
        <w:rPr/>
        <w:t>Policy choices at both the state and federal level have been skewed towards the development of spot market structures.</w:t>
      </w:r>
    </w:p>
    <w:p>
      <w:pPr>
        <w:pStyle w:val="Normal"/>
        <w:numPr>
          <w:ilvl w:val="0"/>
          <w:numId w:val="37"/>
        </w:numPr>
        <w:tabs>
          <w:tab w:val="clear" w:pos="720"/>
          <w:tab w:val="left" w:pos="2160" w:leader="none"/>
        </w:tabs>
        <w:spacing w:before="0" w:after="120"/>
        <w:ind w:hanging="720" w:start="2160" w:end="0"/>
        <w:rPr/>
      </w:pPr>
      <w:r>
        <w:rPr/>
        <w:t>In other competitive markets the majority of traded volumes of electricity are covered by physical or financial contracts that hedge price risks.</w:t>
      </w:r>
    </w:p>
    <w:p>
      <w:pPr>
        <w:pStyle w:val="Normal"/>
        <w:numPr>
          <w:ilvl w:val="0"/>
          <w:numId w:val="21"/>
        </w:numPr>
        <w:spacing w:before="0" w:after="120"/>
        <w:rPr/>
      </w:pPr>
      <w:r>
        <w:rPr/>
        <w:t>FERC’s Role and Responsibility in Creating an Efficient Forward Market</w:t>
      </w:r>
    </w:p>
    <w:p>
      <w:pPr>
        <w:pStyle w:val="Normal"/>
        <w:numPr>
          <w:ilvl w:val="0"/>
          <w:numId w:val="12"/>
        </w:numPr>
        <w:tabs>
          <w:tab w:val="clear" w:pos="720"/>
          <w:tab w:val="left" w:pos="2160" w:leader="none"/>
        </w:tabs>
        <w:spacing w:before="0" w:after="120"/>
        <w:ind w:hanging="720" w:start="2160" w:end="0"/>
        <w:rPr/>
      </w:pPr>
      <w:r>
        <w:rPr/>
        <w:t>In practice, active retail competition will drive the development of forward markets.  Therefore FERC should support moves to implement active retail competition.</w:t>
      </w:r>
    </w:p>
    <w:p>
      <w:pPr>
        <w:pStyle w:val="Normal"/>
        <w:numPr>
          <w:ilvl w:val="0"/>
          <w:numId w:val="12"/>
        </w:numPr>
        <w:tabs>
          <w:tab w:val="clear" w:pos="720"/>
          <w:tab w:val="left" w:pos="2160" w:leader="none"/>
        </w:tabs>
        <w:spacing w:before="0" w:after="120"/>
        <w:ind w:hanging="720" w:start="2160" w:end="0"/>
        <w:rPr/>
      </w:pPr>
      <w:r>
        <w:rPr/>
        <w:t>Many of the changes required to develop forward markets will require state, rather than federal, policies.  FERC can influence this process by making its approval of other market reforms contingent on state authorities’ agreement to the necessary reforms.</w:t>
      </w:r>
    </w:p>
    <w:p>
      <w:pPr>
        <w:pStyle w:val="Normal"/>
        <w:numPr>
          <w:ilvl w:val="0"/>
          <w:numId w:val="21"/>
        </w:numPr>
        <w:spacing w:before="0" w:after="120"/>
        <w:rPr/>
      </w:pPr>
      <w:r>
        <w:rPr/>
        <w:t>Recommended Changes for Development of a Robust Forward Market</w:t>
      </w:r>
    </w:p>
    <w:p>
      <w:pPr>
        <w:pStyle w:val="Normal"/>
        <w:numPr>
          <w:ilvl w:val="0"/>
          <w:numId w:val="34"/>
        </w:numPr>
        <w:tabs>
          <w:tab w:val="clear" w:pos="720"/>
          <w:tab w:val="left" w:pos="2160" w:leader="none"/>
        </w:tabs>
        <w:spacing w:before="0" w:after="120"/>
        <w:ind w:hanging="720" w:start="2160" w:end="0"/>
        <w:rPr/>
      </w:pPr>
      <w:r>
        <w:rPr/>
        <w:t>A new model is required for default service that separates the function of default energy supply from the regulated “wires” business of the UDCs.</w:t>
      </w:r>
      <w:r>
        <w:rPr>
          <w:rStyle w:val="FootnoteCharacters"/>
          <w:rStyle w:val="FootnoteReference"/>
        </w:rPr>
        <w:footnoteReference w:id="2"/>
      </w:r>
      <w:r>
        <w:rPr/>
        <w:t xml:space="preserve">  Two models meet the need for customer price risk management without the need for detailed CPUC ratemaking or prudence reviews:  Franchise Bidding and Yardstick Competition.</w:t>
      </w:r>
    </w:p>
    <w:p>
      <w:pPr>
        <w:pStyle w:val="Normal"/>
        <w:numPr>
          <w:ilvl w:val="0"/>
          <w:numId w:val="34"/>
        </w:numPr>
        <w:tabs>
          <w:tab w:val="clear" w:pos="720"/>
          <w:tab w:val="left" w:pos="2160" w:leader="none"/>
        </w:tabs>
        <w:spacing w:before="0" w:after="120"/>
        <w:ind w:hanging="720" w:start="2160" w:end="0"/>
        <w:rPr/>
      </w:pPr>
      <w:r>
        <w:rPr/>
        <w:t>California should eliminate the requirement that UDCs meet the needs of default retail customers in the day-ahead or nearer-term time.</w:t>
      </w:r>
    </w:p>
    <w:p>
      <w:pPr>
        <w:pStyle w:val="Normal"/>
        <w:numPr>
          <w:ilvl w:val="0"/>
          <w:numId w:val="34"/>
        </w:numPr>
        <w:tabs>
          <w:tab w:val="clear" w:pos="720"/>
          <w:tab w:val="left" w:pos="2160" w:leader="none"/>
        </w:tabs>
        <w:spacing w:before="0" w:after="120"/>
        <w:ind w:hanging="720" w:start="2160" w:end="0"/>
        <w:rPr/>
      </w:pPr>
      <w:r>
        <w:rPr/>
        <w:t>The forward market provision of energy, ancillary services, transmission rights and risk management services should be acquired through ESPs, and not by the UDC  itself – lest the wires entity place itself in a better competitive position than competitors using the utility’s services.</w:t>
      </w:r>
    </w:p>
    <w:p>
      <w:pPr>
        <w:pStyle w:val="Normal"/>
        <w:numPr>
          <w:ilvl w:val="0"/>
          <w:numId w:val="34"/>
        </w:numPr>
        <w:tabs>
          <w:tab w:val="clear" w:pos="720"/>
          <w:tab w:val="left" w:pos="2160" w:leader="none"/>
        </w:tabs>
        <w:spacing w:before="0" w:after="120"/>
        <w:ind w:hanging="720" w:start="2160" w:end="0"/>
        <w:rPr/>
      </w:pPr>
      <w:r>
        <w:rPr/>
        <w:t>The CPUC should assure UDC  that they will not second-guess prudence the of their forward market procurements.</w:t>
      </w:r>
    </w:p>
    <w:p>
      <w:pPr>
        <w:pStyle w:val="Normal"/>
        <w:numPr>
          <w:ilvl w:val="0"/>
          <w:numId w:val="34"/>
        </w:numPr>
        <w:tabs>
          <w:tab w:val="clear" w:pos="720"/>
          <w:tab w:val="left" w:pos="2160" w:leader="none"/>
        </w:tabs>
        <w:spacing w:before="0" w:after="120"/>
        <w:ind w:hanging="720" w:start="2160" w:end="0"/>
        <w:rPr/>
      </w:pPr>
      <w:r>
        <w:rPr/>
        <w:t>A number of the California ISO’s rules are biased against the use of forward markets for energy, transmission rights and ancillary services. At a minimum, the ISO should (1) unbundle the costs of the ISO’s day-ahead and hour-ahead procurement mechanisms and allocate those costs solely to those Scheduling Coordinators who make use of such mechanisms and (2) remove the barriers to use of forward markets in transmission rights by making available, through an annual auction, the entirety of the transmission rights.</w:t>
      </w:r>
    </w:p>
    <w:p>
      <w:pPr>
        <w:pStyle w:val="Normal"/>
        <w:numPr>
          <w:ilvl w:val="0"/>
          <w:numId w:val="18"/>
        </w:numPr>
        <w:spacing w:before="0" w:after="120"/>
        <w:rPr/>
      </w:pPr>
      <w:r>
        <w:rPr/>
        <w:t>Distortion of Market Price Signals</w:t>
      </w:r>
    </w:p>
    <w:p>
      <w:pPr>
        <w:pStyle w:val="Normal"/>
        <w:numPr>
          <w:ilvl w:val="0"/>
          <w:numId w:val="23"/>
        </w:numPr>
        <w:spacing w:before="0" w:after="120"/>
        <w:rPr/>
      </w:pPr>
      <w:r>
        <w:rPr/>
        <w:t>There are three main sources of distortions in California’s market prices for electricity:</w:t>
      </w:r>
    </w:p>
    <w:p>
      <w:pPr>
        <w:pStyle w:val="Normal"/>
        <w:numPr>
          <w:ilvl w:val="0"/>
          <w:numId w:val="26"/>
        </w:numPr>
        <w:tabs>
          <w:tab w:val="clear" w:pos="720"/>
          <w:tab w:val="left" w:pos="2160" w:leader="none"/>
        </w:tabs>
        <w:spacing w:before="0" w:after="120"/>
        <w:ind w:hanging="720" w:start="2160" w:end="0"/>
        <w:rPr/>
      </w:pPr>
      <w:r>
        <w:rPr/>
        <w:t>Price caps,</w:t>
      </w:r>
    </w:p>
    <w:p>
      <w:pPr>
        <w:pStyle w:val="Normal"/>
        <w:numPr>
          <w:ilvl w:val="0"/>
          <w:numId w:val="26"/>
        </w:numPr>
        <w:spacing w:before="0" w:after="120"/>
        <w:ind w:hanging="720" w:start="2160" w:end="0"/>
        <w:rPr/>
      </w:pPr>
      <w:r>
        <w:rPr/>
        <w:t>the lack of demand price signals, and</w:t>
      </w:r>
    </w:p>
    <w:p>
      <w:pPr>
        <w:pStyle w:val="Normal"/>
        <w:numPr>
          <w:ilvl w:val="0"/>
          <w:numId w:val="26"/>
        </w:numPr>
        <w:spacing w:before="0" w:after="120"/>
        <w:ind w:hanging="720" w:start="2160" w:end="0"/>
        <w:rPr/>
      </w:pPr>
      <w:r>
        <w:rPr/>
        <w:t>monopsony power, which causes price discrimination in both the ISO’s market operations and in the PX.</w:t>
      </w:r>
    </w:p>
    <w:p>
      <w:pPr>
        <w:pStyle w:val="Header"/>
        <w:tabs>
          <w:tab w:val="clear" w:pos="4680"/>
          <w:tab w:val="clear" w:pos="9360"/>
        </w:tabs>
        <w:spacing w:before="0" w:after="120"/>
        <w:rPr/>
      </w:pPr>
      <w:r>
        <w:rPr/>
        <w:t>V.</w:t>
        <w:tab/>
        <w:t>Price Caps</w:t>
      </w:r>
    </w:p>
    <w:p>
      <w:pPr>
        <w:pStyle w:val="Normal"/>
        <w:numPr>
          <w:ilvl w:val="0"/>
          <w:numId w:val="20"/>
        </w:numPr>
        <w:tabs>
          <w:tab w:val="clear" w:pos="720"/>
          <w:tab w:val="left" w:pos="1080" w:leader="none"/>
        </w:tabs>
        <w:spacing w:before="0" w:after="120"/>
        <w:ind w:hanging="360" w:start="1080" w:end="0"/>
        <w:rPr/>
      </w:pPr>
      <w:r>
        <w:rPr/>
        <w:t>Eliminating price caps is necessary for an efficient market. Prices in periods of scarcity should reflect scarcity rents, in order to encourage efficient investment in generation.</w:t>
      </w:r>
    </w:p>
    <w:p>
      <w:pPr>
        <w:pStyle w:val="Normal"/>
        <w:numPr>
          <w:ilvl w:val="0"/>
          <w:numId w:val="20"/>
        </w:numPr>
        <w:tabs>
          <w:tab w:val="clear" w:pos="720"/>
          <w:tab w:val="left" w:pos="1080" w:leader="none"/>
        </w:tabs>
        <w:spacing w:before="0" w:after="120"/>
        <w:ind w:hanging="360" w:start="1080" w:end="0"/>
        <w:rPr/>
      </w:pPr>
      <w:r>
        <w:rPr/>
        <w:t>Price caps do not discriminate between legitimate high prices (due to real or expected scarcity) and illegitimate high prices (due to market power).</w:t>
      </w:r>
    </w:p>
    <w:p>
      <w:pPr>
        <w:pStyle w:val="Normal"/>
        <w:numPr>
          <w:ilvl w:val="0"/>
          <w:numId w:val="20"/>
        </w:numPr>
        <w:tabs>
          <w:tab w:val="clear" w:pos="720"/>
          <w:tab w:val="left" w:pos="1080" w:leader="none"/>
        </w:tabs>
        <w:spacing w:before="0" w:after="120"/>
        <w:ind w:hanging="360" w:start="1080" w:end="0"/>
        <w:rPr/>
      </w:pPr>
      <w:r>
        <w:rPr/>
        <w:t>Current price caps do not reflect real scarcity values or efficient outcomes.  Proof:</w:t>
      </w:r>
    </w:p>
    <w:p>
      <w:pPr>
        <w:pStyle w:val="Normal"/>
        <w:numPr>
          <w:ilvl w:val="0"/>
          <w:numId w:val="17"/>
        </w:numPr>
        <w:tabs>
          <w:tab w:val="clear" w:pos="720"/>
          <w:tab w:val="left" w:pos="1440" w:leader="none"/>
        </w:tabs>
        <w:spacing w:before="0" w:after="120"/>
        <w:ind w:hanging="360" w:start="1440" w:end="0"/>
        <w:rPr/>
      </w:pPr>
      <w:r>
        <w:rPr/>
        <w:t>most interruptible customers are willing to pay far more than $250/MWh before reducing their demand.</w:t>
      </w:r>
    </w:p>
    <w:p>
      <w:pPr>
        <w:pStyle w:val="Normal"/>
        <w:numPr>
          <w:ilvl w:val="0"/>
          <w:numId w:val="17"/>
        </w:numPr>
        <w:tabs>
          <w:tab w:val="clear" w:pos="720"/>
          <w:tab w:val="left" w:pos="1440" w:leader="none"/>
        </w:tabs>
        <w:spacing w:before="0" w:after="120"/>
        <w:ind w:hanging="360" w:start="1440" w:end="0"/>
        <w:rPr/>
      </w:pPr>
      <w:r>
        <w:rPr/>
        <w:t>The California ISO uses a much higher level for the value of lost load in its own systems planning ($25,000/MWh).  Other systems that use an explicit value of lost load cap on exchange prices use much higher prices.</w:t>
      </w:r>
    </w:p>
    <w:p>
      <w:pPr>
        <w:pStyle w:val="Normal"/>
        <w:numPr>
          <w:ilvl w:val="0"/>
          <w:numId w:val="20"/>
        </w:numPr>
        <w:tabs>
          <w:tab w:val="clear" w:pos="720"/>
          <w:tab w:val="left" w:pos="1080" w:leader="none"/>
        </w:tabs>
        <w:spacing w:before="0" w:after="120"/>
        <w:ind w:hanging="360" w:start="1080" w:end="0"/>
        <w:rPr/>
      </w:pPr>
      <w:r>
        <w:rPr/>
        <w:t>Alternatives to Price Caps - Other mechanisms are available to control market power that do not eliminate crucial scarcity price signals.  These mechanisms include:</w:t>
      </w:r>
    </w:p>
    <w:p>
      <w:pPr>
        <w:pStyle w:val="Normal"/>
        <w:numPr>
          <w:ilvl w:val="0"/>
          <w:numId w:val="22"/>
        </w:numPr>
        <w:spacing w:before="0" w:after="120"/>
        <w:rPr/>
      </w:pPr>
      <w:r>
        <w:rPr/>
        <w:t xml:space="preserve">Bid caps  </w:t>
      </w:r>
    </w:p>
    <w:p>
      <w:pPr>
        <w:pStyle w:val="Normal"/>
        <w:numPr>
          <w:ilvl w:val="0"/>
          <w:numId w:val="22"/>
        </w:numPr>
        <w:spacing w:before="0" w:after="120"/>
        <w:rPr/>
      </w:pPr>
      <w:r>
        <w:rPr/>
        <w:t>Imposed contracts</w:t>
      </w:r>
    </w:p>
    <w:p>
      <w:pPr>
        <w:pStyle w:val="Normal"/>
        <w:numPr>
          <w:ilvl w:val="0"/>
          <w:numId w:val="22"/>
        </w:numPr>
        <w:spacing w:before="0" w:after="120"/>
        <w:rPr/>
      </w:pPr>
      <w:r>
        <w:rPr/>
        <w:t>Other hybrid mechanisms.</w:t>
      </w:r>
    </w:p>
    <w:p>
      <w:pPr>
        <w:pStyle w:val="Normal"/>
        <w:numPr>
          <w:ilvl w:val="0"/>
          <w:numId w:val="20"/>
        </w:numPr>
        <w:tabs>
          <w:tab w:val="clear" w:pos="720"/>
          <w:tab w:val="left" w:pos="1080" w:leader="none"/>
        </w:tabs>
        <w:spacing w:before="0" w:after="120"/>
        <w:ind w:hanging="360" w:start="1080" w:end="0"/>
        <w:rPr/>
      </w:pPr>
      <w:r>
        <w:rPr/>
        <w:t>How Should FERC Address the Issue of Price Caps in California?</w:t>
      </w:r>
    </w:p>
    <w:p>
      <w:pPr>
        <w:pStyle w:val="Normal"/>
        <w:numPr>
          <w:ilvl w:val="0"/>
          <w:numId w:val="36"/>
        </w:numPr>
        <w:tabs>
          <w:tab w:val="clear" w:pos="720"/>
          <w:tab w:val="left" w:pos="2160" w:leader="none"/>
        </w:tabs>
        <w:spacing w:before="0" w:after="120"/>
        <w:ind w:hanging="720" w:start="2160" w:end="0"/>
        <w:rPr/>
      </w:pPr>
      <w:r>
        <w:rPr/>
        <w:t xml:space="preserve">FERC’s policies must encourage investment in new generation.  Price caps discourage new generation investment – especially in peaking and are therefore unacceptable.  </w:t>
      </w:r>
    </w:p>
    <w:p>
      <w:pPr>
        <w:pStyle w:val="Normal"/>
        <w:numPr>
          <w:ilvl w:val="0"/>
          <w:numId w:val="36"/>
        </w:numPr>
        <w:tabs>
          <w:tab w:val="clear" w:pos="720"/>
          <w:tab w:val="left" w:pos="2160" w:leader="none"/>
        </w:tabs>
        <w:spacing w:before="0" w:after="120"/>
        <w:ind w:hanging="720" w:start="2160" w:end="0"/>
        <w:rPr/>
      </w:pPr>
      <w:r>
        <w:rPr/>
        <w:t>FERC should consider a two-stage process for eliminating this distortion.</w:t>
      </w:r>
    </w:p>
    <w:p>
      <w:pPr>
        <w:pStyle w:val="Normal"/>
        <w:numPr>
          <w:ilvl w:val="0"/>
          <w:numId w:val="5"/>
        </w:numPr>
        <w:tabs>
          <w:tab w:val="clear" w:pos="720"/>
          <w:tab w:val="left" w:pos="2520" w:leader="none"/>
        </w:tabs>
        <w:spacing w:before="0" w:after="120"/>
        <w:ind w:hanging="360" w:start="2520" w:end="0"/>
        <w:rPr/>
      </w:pPr>
      <w:r>
        <w:rPr/>
        <w:t>First, FERC should determine whether price caps are necessary in all hours given that the market appears to be highly competitive in most hours.</w:t>
      </w:r>
    </w:p>
    <w:p>
      <w:pPr>
        <w:pStyle w:val="Normal"/>
        <w:numPr>
          <w:ilvl w:val="0"/>
          <w:numId w:val="5"/>
        </w:numPr>
        <w:tabs>
          <w:tab w:val="clear" w:pos="720"/>
          <w:tab w:val="left" w:pos="2520" w:leader="none"/>
        </w:tabs>
        <w:spacing w:before="0" w:after="120"/>
        <w:ind w:hanging="360" w:start="2520" w:end="0"/>
        <w:rPr/>
      </w:pPr>
      <w:r>
        <w:rPr/>
        <w:t>Second, if market power controls are really needed in a few peak hours, FERC should only approve mechanisms that are designed to control market power without distorting price signals, such as the bid caps or contractual mechanisms discussed previously.</w:t>
      </w:r>
    </w:p>
    <w:p>
      <w:pPr>
        <w:pStyle w:val="Normal"/>
        <w:numPr>
          <w:ilvl w:val="0"/>
          <w:numId w:val="2"/>
        </w:numPr>
        <w:spacing w:before="0" w:after="120"/>
        <w:rPr/>
      </w:pPr>
      <w:r>
        <w:rPr/>
        <w:t>Retail Markets and Demand Price Signals</w:t>
      </w:r>
    </w:p>
    <w:p>
      <w:pPr>
        <w:pStyle w:val="Normal"/>
        <w:numPr>
          <w:ilvl w:val="0"/>
          <w:numId w:val="38"/>
        </w:numPr>
        <w:spacing w:before="0" w:after="120"/>
        <w:rPr/>
      </w:pPr>
      <w:r>
        <w:rPr/>
        <w:t>Retail markets</w:t>
      </w:r>
    </w:p>
    <w:p>
      <w:pPr>
        <w:pStyle w:val="Normal"/>
        <w:numPr>
          <w:ilvl w:val="0"/>
          <w:numId w:val="7"/>
        </w:numPr>
        <w:tabs>
          <w:tab w:val="clear" w:pos="720"/>
          <w:tab w:val="left" w:pos="2160" w:leader="none"/>
        </w:tabs>
        <w:spacing w:before="0" w:after="120"/>
        <w:ind w:hanging="720" w:start="2160" w:end="0"/>
        <w:rPr/>
      </w:pPr>
      <w:r>
        <w:rPr/>
        <w:t xml:space="preserve">The events of this summer have shattered the assumption that wholesale and retail markets could be effectively separated.  </w:t>
      </w:r>
    </w:p>
    <w:p>
      <w:pPr>
        <w:pStyle w:val="Normal"/>
        <w:numPr>
          <w:ilvl w:val="0"/>
          <w:numId w:val="7"/>
        </w:numPr>
        <w:spacing w:before="0" w:after="120"/>
        <w:ind w:hanging="720" w:start="2160" w:end="0"/>
        <w:rPr/>
      </w:pPr>
      <w:r>
        <w:rPr/>
        <w:t>Retail markets perform an important role by sending demand price signals back to the wholesale market.</w:t>
      </w:r>
    </w:p>
    <w:p>
      <w:pPr>
        <w:pStyle w:val="Normal"/>
        <w:numPr>
          <w:ilvl w:val="0"/>
          <w:numId w:val="7"/>
        </w:numPr>
        <w:spacing w:before="0" w:after="120"/>
        <w:ind w:hanging="720" w:start="2160" w:end="0"/>
        <w:rPr/>
      </w:pPr>
      <w:r>
        <w:rPr/>
        <w:t>Demand response reduces the potential for withholding strategies to significantly increase prices.  Similarly, increasing demand responsiveness would allow generating capacity to be used more efficiently.</w:t>
      </w:r>
    </w:p>
    <w:p>
      <w:pPr>
        <w:pStyle w:val="Normal"/>
        <w:numPr>
          <w:ilvl w:val="0"/>
          <w:numId w:val="38"/>
        </w:numPr>
        <w:spacing w:before="0" w:after="120"/>
        <w:rPr/>
      </w:pPr>
      <w:r>
        <w:rPr/>
        <w:t>Demand elasticity</w:t>
      </w:r>
    </w:p>
    <w:p>
      <w:pPr>
        <w:pStyle w:val="Normal"/>
        <w:numPr>
          <w:ilvl w:val="0"/>
          <w:numId w:val="27"/>
        </w:numPr>
        <w:tabs>
          <w:tab w:val="clear" w:pos="720"/>
          <w:tab w:val="left" w:pos="2160" w:leader="none"/>
        </w:tabs>
        <w:spacing w:before="0" w:after="120"/>
        <w:ind w:hanging="720" w:start="2160" w:end="0"/>
        <w:rPr/>
      </w:pPr>
      <w:r>
        <w:rPr/>
        <w:t>California’s restructuring legislation has stifled the creation of demand elasticity in two significant ways.</w:t>
      </w:r>
    </w:p>
    <w:p>
      <w:pPr>
        <w:pStyle w:val="Normal"/>
        <w:numPr>
          <w:ilvl w:val="0"/>
          <w:numId w:val="3"/>
        </w:numPr>
        <w:tabs>
          <w:tab w:val="clear" w:pos="720"/>
          <w:tab w:val="left" w:pos="2520" w:leader="none"/>
        </w:tabs>
        <w:spacing w:before="0" w:after="120"/>
        <w:ind w:hanging="360" w:start="2520" w:end="0"/>
        <w:rPr/>
      </w:pPr>
      <w:r>
        <w:rPr/>
        <w:t>First, the CTC and rate freeze mechanisms have discouraged competition from retailers (ESPs) who were expected to provide the infrastructure and energy management products to bring demand responsiveness into prominence.</w:t>
      </w:r>
    </w:p>
    <w:p>
      <w:pPr>
        <w:pStyle w:val="Normal"/>
        <w:numPr>
          <w:ilvl w:val="0"/>
          <w:numId w:val="3"/>
        </w:numPr>
        <w:tabs>
          <w:tab w:val="clear" w:pos="720"/>
          <w:tab w:val="left" w:pos="2520" w:leader="none"/>
        </w:tabs>
        <w:spacing w:before="0" w:after="120"/>
        <w:ind w:hanging="360" w:start="2520" w:end="0"/>
        <w:rPr/>
      </w:pPr>
      <w:r>
        <w:rPr/>
        <w:t>Second, it effectively shielded retail customers from real-time energy price signals.</w:t>
      </w:r>
    </w:p>
    <w:p>
      <w:pPr>
        <w:pStyle w:val="Normal"/>
        <w:numPr>
          <w:ilvl w:val="0"/>
          <w:numId w:val="27"/>
        </w:numPr>
        <w:spacing w:before="0" w:after="120"/>
        <w:ind w:hanging="720" w:start="2160" w:end="0"/>
        <w:rPr/>
      </w:pPr>
      <w:r>
        <w:rPr/>
        <w:t xml:space="preserve">Given the the CTC mechanism, and the rate freeze, there is no reason for customers to reduce their consumption during high price periods.  </w:t>
      </w:r>
    </w:p>
    <w:p>
      <w:pPr>
        <w:pStyle w:val="Normal"/>
        <w:numPr>
          <w:ilvl w:val="0"/>
          <w:numId w:val="38"/>
        </w:numPr>
        <w:spacing w:before="0" w:after="120"/>
        <w:rPr/>
      </w:pPr>
      <w:r>
        <w:rPr/>
        <w:t>How should FERC respond to the problem created by California?</w:t>
      </w:r>
    </w:p>
    <w:p>
      <w:pPr>
        <w:pStyle w:val="Normal"/>
        <w:numPr>
          <w:ilvl w:val="0"/>
          <w:numId w:val="11"/>
        </w:numPr>
        <w:spacing w:before="0" w:after="120"/>
        <w:ind w:hanging="720" w:start="2160" w:end="0"/>
        <w:rPr/>
      </w:pPr>
      <w:r>
        <w:rPr/>
        <w:t xml:space="preserve">In new markets, FERC should condition approval of market-based rates for large incumbents on evidence that the retail market will be fully functional.  </w:t>
      </w:r>
    </w:p>
    <w:p>
      <w:pPr>
        <w:pStyle w:val="Normal"/>
        <w:numPr>
          <w:ilvl w:val="0"/>
          <w:numId w:val="11"/>
        </w:numPr>
        <w:spacing w:before="0" w:after="120"/>
        <w:ind w:hanging="720" w:start="2160" w:end="0"/>
        <w:rPr/>
      </w:pPr>
      <w:r>
        <w:rPr/>
        <w:t xml:space="preserve">In existing markets, such as in California, FERC could condition any form of market power control on California acting to ensure that customers respond to price signals.  </w:t>
      </w:r>
    </w:p>
    <w:p>
      <w:pPr>
        <w:pStyle w:val="Normal"/>
        <w:numPr>
          <w:ilvl w:val="0"/>
          <w:numId w:val="11"/>
        </w:numPr>
        <w:spacing w:before="0" w:after="120"/>
        <w:ind w:hanging="720" w:start="2160" w:end="0"/>
        <w:rPr/>
      </w:pPr>
      <w:r>
        <w:rPr/>
        <w:t xml:space="preserve">If California won’t act, FERC may have to.  </w:t>
      </w:r>
    </w:p>
    <w:p>
      <w:pPr>
        <w:pStyle w:val="Normal"/>
        <w:spacing w:before="0" w:after="120"/>
        <w:rPr/>
      </w:pPr>
      <w:r>
        <w:rPr/>
        <w:t>VII.</w:t>
        <w:tab/>
        <w:t>Monopsony Price Discrimination</w:t>
      </w:r>
    </w:p>
    <w:p>
      <w:pPr>
        <w:pStyle w:val="Normal"/>
        <w:numPr>
          <w:ilvl w:val="0"/>
          <w:numId w:val="30"/>
        </w:numPr>
        <w:tabs>
          <w:tab w:val="clear" w:pos="720"/>
          <w:tab w:val="left" w:pos="1080" w:leader="none"/>
        </w:tabs>
        <w:spacing w:before="0" w:after="120"/>
        <w:ind w:hanging="360" w:start="1080" w:end="0"/>
        <w:rPr/>
      </w:pPr>
      <w:r>
        <w:rPr/>
        <w:t xml:space="preserve">Monopsony price discrimination is widespread in California.  </w:t>
      </w:r>
    </w:p>
    <w:p>
      <w:pPr>
        <w:pStyle w:val="Normal"/>
        <w:numPr>
          <w:ilvl w:val="0"/>
          <w:numId w:val="30"/>
        </w:numPr>
        <w:tabs>
          <w:tab w:val="clear" w:pos="720"/>
          <w:tab w:val="left" w:pos="1080" w:leader="none"/>
        </w:tabs>
        <w:spacing w:before="0" w:after="120"/>
        <w:ind w:hanging="360" w:start="1080" w:end="0"/>
        <w:rPr/>
      </w:pPr>
      <w:r>
        <w:rPr/>
        <w:t>The market structure has created two monopsonists:  the UDCs with respect to energy procurement for default customers and the ISO with respect to certain wholesale market operations (e.g., out-of-market calls or “OOM”).</w:t>
      </w:r>
    </w:p>
    <w:p>
      <w:pPr>
        <w:pStyle w:val="Normal"/>
        <w:numPr>
          <w:ilvl w:val="0"/>
          <w:numId w:val="30"/>
        </w:numPr>
        <w:tabs>
          <w:tab w:val="clear" w:pos="720"/>
          <w:tab w:val="left" w:pos="1080" w:leader="none"/>
        </w:tabs>
        <w:spacing w:before="0" w:after="120"/>
        <w:ind w:hanging="360" w:start="1080" w:end="0"/>
        <w:rPr/>
      </w:pPr>
      <w:r>
        <w:rPr/>
        <w:t xml:space="preserve">Underscheduling by utility distribution companies (UDCs) shows severe monopsony power – </w:t>
      </w:r>
    </w:p>
    <w:p>
      <w:pPr>
        <w:pStyle w:val="Normal"/>
        <w:numPr>
          <w:ilvl w:val="0"/>
          <w:numId w:val="16"/>
        </w:numPr>
        <w:spacing w:before="0" w:after="120"/>
        <w:rPr/>
      </w:pPr>
      <w:r>
        <w:rPr/>
        <w:t xml:space="preserve">The UDCs routinely purchase a significant amount of their load from the real-time market. Under-scheduling is particularly evident when system load is greater than 35,000 MW.  This is due to the lack of bids in excess of 35,000 MW available in the PX day-ahead market.  </w:t>
      </w:r>
    </w:p>
    <w:p>
      <w:pPr>
        <w:pStyle w:val="Normal"/>
        <w:numPr>
          <w:ilvl w:val="0"/>
          <w:numId w:val="16"/>
        </w:numPr>
        <w:spacing w:before="0" w:after="120"/>
        <w:rPr/>
      </w:pPr>
      <w:r>
        <w:rPr/>
        <w:t>There are also incentives to under-schedule arising from the combined effects of the rate freeze and the dominant size of the UDCs.</w:t>
      </w:r>
    </w:p>
    <w:p>
      <w:pPr>
        <w:pStyle w:val="Normal"/>
        <w:numPr>
          <w:ilvl w:val="0"/>
          <w:numId w:val="30"/>
        </w:numPr>
        <w:tabs>
          <w:tab w:val="clear" w:pos="720"/>
          <w:tab w:val="left" w:pos="1080" w:leader="none"/>
        </w:tabs>
        <w:spacing w:before="0" w:after="120"/>
        <w:ind w:hanging="360" w:start="1080" w:end="0"/>
        <w:rPr/>
      </w:pPr>
      <w:r>
        <w:rPr/>
        <w:t>How should FERC respond to underscheduling?</w:t>
      </w:r>
    </w:p>
    <w:p>
      <w:pPr>
        <w:pStyle w:val="Normal"/>
        <w:numPr>
          <w:ilvl w:val="0"/>
          <w:numId w:val="29"/>
        </w:numPr>
        <w:spacing w:before="0" w:after="120"/>
        <w:rPr/>
      </w:pPr>
      <w:r>
        <w:rPr/>
        <w:t xml:space="preserve">FERC should reject ISO tariff amendments that would create balance standards for scheduling coordinators.  Such a strategy would lower the efficiency of the market over time, which depends on free arbitrage between the various markets.  </w:t>
      </w:r>
    </w:p>
    <w:p>
      <w:pPr>
        <w:pStyle w:val="Normal"/>
        <w:numPr>
          <w:ilvl w:val="0"/>
          <w:numId w:val="29"/>
        </w:numPr>
        <w:spacing w:before="0" w:after="120"/>
        <w:rPr/>
      </w:pPr>
      <w:r>
        <w:rPr/>
        <w:t>Rather California should eliminate the incentives that have created underscheduling by UDCs in the first place.</w:t>
      </w:r>
    </w:p>
    <w:p>
      <w:pPr>
        <w:pStyle w:val="Normal"/>
        <w:numPr>
          <w:ilvl w:val="0"/>
          <w:numId w:val="30"/>
        </w:numPr>
        <w:tabs>
          <w:tab w:val="clear" w:pos="720"/>
          <w:tab w:val="left" w:pos="1080" w:leader="none"/>
        </w:tabs>
        <w:spacing w:before="0" w:after="120"/>
        <w:ind w:hanging="360" w:start="1080" w:end="0"/>
        <w:rPr/>
      </w:pPr>
      <w:r>
        <w:rPr/>
        <w:t>Out-of-market rules allow price discrimination by the ISO</w:t>
      </w:r>
    </w:p>
    <w:p>
      <w:pPr>
        <w:pStyle w:val="Normal"/>
        <w:numPr>
          <w:ilvl w:val="0"/>
          <w:numId w:val="35"/>
        </w:numPr>
        <w:spacing w:before="0" w:after="120"/>
        <w:rPr/>
      </w:pPr>
      <w:r>
        <w:rPr/>
        <w:t>The California ISO engages in price discrimination via out-of-market calls (used to procure additional power by the Cal ISO in shortage periods from outside of California)</w:t>
      </w:r>
    </w:p>
    <w:p>
      <w:pPr>
        <w:pStyle w:val="Normal"/>
        <w:numPr>
          <w:ilvl w:val="0"/>
          <w:numId w:val="35"/>
        </w:numPr>
        <w:spacing w:before="0" w:after="120"/>
        <w:rPr/>
      </w:pPr>
      <w:r>
        <w:rPr/>
        <w:t>The need for OOM reflects even the ISO’s disbelief that the price caps imposed in the real-time and Ancillary Service markets are correct.</w:t>
      </w:r>
    </w:p>
    <w:p>
      <w:pPr>
        <w:pStyle w:val="Normal"/>
        <w:numPr>
          <w:ilvl w:val="0"/>
          <w:numId w:val="35"/>
        </w:numPr>
        <w:spacing w:before="0" w:after="120"/>
        <w:rPr/>
      </w:pPr>
      <w:r>
        <w:rPr/>
        <w:t>FERC should deal with OOM calls and pricing by eliminating price caps.</w:t>
      </w:r>
    </w:p>
    <w:p>
      <w:pPr>
        <w:pStyle w:val="Normal"/>
        <w:spacing w:before="0" w:after="120"/>
        <w:rPr/>
      </w:pPr>
      <w:r>
        <w:rPr/>
        <w:t>VIII.</w:t>
        <w:tab/>
        <w:t>Market Transparency</w:t>
      </w:r>
    </w:p>
    <w:p>
      <w:pPr>
        <w:pStyle w:val="Normal"/>
        <w:numPr>
          <w:ilvl w:val="0"/>
          <w:numId w:val="33"/>
        </w:numPr>
        <w:spacing w:before="0" w:after="120"/>
        <w:rPr/>
      </w:pPr>
      <w:r>
        <w:rPr/>
        <w:t>Market transparency issues</w:t>
      </w:r>
    </w:p>
    <w:p>
      <w:pPr>
        <w:pStyle w:val="Normal"/>
        <w:numPr>
          <w:ilvl w:val="0"/>
          <w:numId w:val="24"/>
        </w:numPr>
        <w:spacing w:before="0" w:after="120"/>
        <w:rPr/>
      </w:pPr>
      <w:r>
        <w:rPr/>
        <w:t>Information is critical to the smooth functioning of markets – particularly complex markets such as the energy markets – to achieve an efficient allocation of resources.</w:t>
      </w:r>
      <w:r>
        <w:rPr>
          <w:rStyle w:val="FootnoteCharacters"/>
          <w:rStyle w:val="FootnoteReference"/>
          <w:rFonts w:cs="Times New Roman" w:ascii="Times New Roman" w:hAnsi="Times New Roman"/>
        </w:rPr>
        <w:footnoteReference w:id="3"/>
      </w:r>
    </w:p>
    <w:p>
      <w:pPr>
        <w:pStyle w:val="Normal"/>
        <w:numPr>
          <w:ilvl w:val="0"/>
          <w:numId w:val="24"/>
        </w:numPr>
        <w:spacing w:before="0" w:after="120"/>
        <w:rPr/>
      </w:pPr>
      <w:r>
        <w:rPr/>
        <w:t>There are important reasons for maximizing the amount of information that is made available to market participants:</w:t>
      </w:r>
    </w:p>
    <w:p>
      <w:pPr>
        <w:pStyle w:val="Normal"/>
        <w:numPr>
          <w:ilvl w:val="0"/>
          <w:numId w:val="28"/>
        </w:numPr>
        <w:tabs>
          <w:tab w:val="clear" w:pos="720"/>
          <w:tab w:val="left" w:pos="2160" w:leader="none"/>
        </w:tabs>
        <w:spacing w:before="0" w:after="120"/>
        <w:ind w:hanging="360" w:start="2160" w:end="0"/>
        <w:rPr/>
      </w:pPr>
      <w:r>
        <w:rPr/>
        <w:t>Optimal allocation of resources.</w:t>
      </w:r>
    </w:p>
    <w:p>
      <w:pPr>
        <w:pStyle w:val="Normal"/>
        <w:numPr>
          <w:ilvl w:val="0"/>
          <w:numId w:val="28"/>
        </w:numPr>
        <w:tabs>
          <w:tab w:val="clear" w:pos="720"/>
          <w:tab w:val="left" w:pos="2160" w:leader="none"/>
        </w:tabs>
        <w:spacing w:before="0" w:after="120"/>
        <w:ind w:hanging="360" w:start="2160" w:end="0"/>
        <w:rPr/>
      </w:pPr>
      <w:r>
        <w:rPr/>
        <w:t>Liquidity enhancement.</w:t>
      </w:r>
    </w:p>
    <w:p>
      <w:pPr>
        <w:pStyle w:val="Normal"/>
        <w:numPr>
          <w:ilvl w:val="0"/>
          <w:numId w:val="28"/>
        </w:numPr>
        <w:tabs>
          <w:tab w:val="clear" w:pos="720"/>
          <w:tab w:val="left" w:pos="2160" w:leader="none"/>
        </w:tabs>
        <w:spacing w:before="0" w:after="120"/>
        <w:ind w:hanging="360" w:start="2160" w:end="0"/>
        <w:rPr/>
      </w:pPr>
      <w:r>
        <w:rPr/>
        <w:t>Detection and policing of collusive behavior.</w:t>
      </w:r>
    </w:p>
    <w:p>
      <w:pPr>
        <w:pStyle w:val="Normal"/>
        <w:numPr>
          <w:ilvl w:val="0"/>
          <w:numId w:val="33"/>
        </w:numPr>
        <w:spacing w:before="0" w:after="120"/>
        <w:rPr/>
      </w:pPr>
      <w:r>
        <w:rPr/>
        <w:t>FERC’s role in achieving more transparent market operations</w:t>
      </w:r>
    </w:p>
    <w:p>
      <w:pPr>
        <w:pStyle w:val="Normal"/>
        <w:numPr>
          <w:ilvl w:val="0"/>
          <w:numId w:val="19"/>
        </w:numPr>
        <w:tabs>
          <w:tab w:val="clear" w:pos="720"/>
          <w:tab w:val="left" w:pos="2160" w:leader="none"/>
        </w:tabs>
        <w:spacing w:before="0" w:after="120"/>
        <w:ind w:hanging="720" w:start="2160" w:end="0"/>
        <w:rPr/>
      </w:pPr>
      <w:r>
        <w:rPr/>
        <w:t>Public market information</w:t>
      </w:r>
    </w:p>
    <w:p>
      <w:pPr>
        <w:pStyle w:val="Normal"/>
        <w:numPr>
          <w:ilvl w:val="0"/>
          <w:numId w:val="15"/>
        </w:numPr>
        <w:tabs>
          <w:tab w:val="clear" w:pos="720"/>
          <w:tab w:val="left" w:pos="2520" w:leader="none"/>
        </w:tabs>
        <w:spacing w:before="0" w:after="120"/>
        <w:ind w:hanging="360" w:start="2520" w:end="0"/>
        <w:rPr/>
      </w:pPr>
      <w:r>
        <w:rPr/>
        <w:t>Information that affects the allocation of grid resources should be available to market participants to ensure that limited grid resources are efficiently allocated.</w:t>
      </w:r>
    </w:p>
    <w:p>
      <w:pPr>
        <w:pStyle w:val="Normal"/>
        <w:numPr>
          <w:ilvl w:val="0"/>
          <w:numId w:val="19"/>
        </w:numPr>
        <w:tabs>
          <w:tab w:val="clear" w:pos="720"/>
          <w:tab w:val="left" w:pos="2160" w:leader="none"/>
        </w:tabs>
        <w:spacing w:before="0" w:after="120"/>
        <w:ind w:hanging="720" w:start="2160" w:end="0"/>
        <w:rPr/>
      </w:pPr>
      <w:r>
        <w:rPr/>
        <w:t>Existing transmission contracts</w:t>
      </w:r>
    </w:p>
    <w:p>
      <w:pPr>
        <w:pStyle w:val="Normal"/>
        <w:numPr>
          <w:ilvl w:val="0"/>
          <w:numId w:val="25"/>
        </w:numPr>
        <w:tabs>
          <w:tab w:val="clear" w:pos="720"/>
          <w:tab w:val="left" w:pos="2520" w:leader="none"/>
        </w:tabs>
        <w:spacing w:before="0" w:after="120"/>
        <w:ind w:hanging="360" w:start="2520" w:end="0"/>
        <w:rPr/>
      </w:pPr>
      <w:r>
        <w:rPr/>
        <w:t>The rules for calculating ATC on critical inter-zonal transmission paths have not been published to date.  Instead, the ISO permits incumbent transmission owners to determine ATC.  Accordingly, these transmission owners know the actual amount of ATC when they are bidding in the market, but other participants do not.  This discrimination is especially problematic in relation to Path 15 but also in the context of other inter-zonal interfaces.</w:t>
      </w:r>
    </w:p>
    <w:p>
      <w:pPr>
        <w:pStyle w:val="Normal"/>
        <w:numPr>
          <w:ilvl w:val="0"/>
          <w:numId w:val="19"/>
        </w:numPr>
        <w:tabs>
          <w:tab w:val="clear" w:pos="720"/>
          <w:tab w:val="left" w:pos="2160" w:leader="none"/>
        </w:tabs>
        <w:spacing w:before="0" w:after="120"/>
        <w:ind w:hanging="720" w:start="2160" w:end="0"/>
        <w:rPr/>
      </w:pPr>
      <w:r>
        <w:rPr/>
        <w:t>ISO market models and software</w:t>
      </w:r>
    </w:p>
    <w:p>
      <w:pPr>
        <w:pStyle w:val="Normal"/>
        <w:numPr>
          <w:ilvl w:val="0"/>
          <w:numId w:val="13"/>
        </w:numPr>
        <w:tabs>
          <w:tab w:val="clear" w:pos="720"/>
          <w:tab w:val="left" w:pos="2880" w:leader="none"/>
        </w:tabs>
        <w:spacing w:before="0" w:after="120"/>
        <w:ind w:hanging="360" w:start="2880" w:end="0"/>
        <w:rPr/>
      </w:pPr>
      <w:r>
        <w:rPr/>
        <w:t>Market participants are unable to fully understand the nature of congestion on the ISO grid and are limited in their ability to formulate Revised Preferred Schedules and Revised Adjustment Bids in the Day-Ahead Scheduling process.  This violates the filed rate doctrine and the Commission has so recognized. FERC should therefore require the California ISO to make available the CONG (or equivalent successor) algorithm.</w:t>
      </w:r>
    </w:p>
    <w:p>
      <w:pPr>
        <w:pStyle w:val="Normal"/>
        <w:numPr>
          <w:ilvl w:val="0"/>
          <w:numId w:val="13"/>
        </w:numPr>
        <w:tabs>
          <w:tab w:val="clear" w:pos="720"/>
          <w:tab w:val="left" w:pos="2160" w:leader="none"/>
        </w:tabs>
        <w:spacing w:before="0" w:after="120"/>
        <w:ind w:hanging="360" w:start="2880" w:end="0"/>
        <w:rPr/>
      </w:pPr>
      <w:r>
        <w:rPr/>
        <w:t>FERC should require the ISO to publicize the ancillary service requirements rules and the ancillary services procurement model.</w:t>
      </w:r>
    </w:p>
    <w:p>
      <w:pPr>
        <w:pStyle w:val="Normal"/>
        <w:numPr>
          <w:ilvl w:val="0"/>
          <w:numId w:val="19"/>
        </w:numPr>
        <w:tabs>
          <w:tab w:val="clear" w:pos="720"/>
          <w:tab w:val="left" w:pos="2160" w:leader="none"/>
          <w:tab w:val="left" w:pos="2880" w:leader="none"/>
        </w:tabs>
        <w:spacing w:before="0" w:after="120"/>
        <w:ind w:hanging="720" w:start="2160" w:end="0"/>
        <w:rPr/>
      </w:pPr>
      <w:r>
        <w:rPr/>
        <w:t>Out Of Market (OOM)</w:t>
      </w:r>
    </w:p>
    <w:p>
      <w:pPr>
        <w:pStyle w:val="Normal"/>
        <w:numPr>
          <w:ilvl w:val="0"/>
          <w:numId w:val="31"/>
        </w:numPr>
        <w:tabs>
          <w:tab w:val="clear" w:pos="720"/>
          <w:tab w:val="left" w:pos="2880" w:leader="none"/>
        </w:tabs>
        <w:spacing w:before="0" w:after="120"/>
        <w:ind w:hanging="360" w:start="2880" w:end="0"/>
        <w:rPr/>
      </w:pPr>
      <w:r>
        <w:rPr/>
        <w:t>While a price cap is hypothetically in place, this price cap is routinely exceeded through the ISO’s OOM purchases.</w:t>
      </w:r>
    </w:p>
    <w:p>
      <w:pPr>
        <w:pStyle w:val="Normal"/>
        <w:numPr>
          <w:ilvl w:val="0"/>
          <w:numId w:val="31"/>
        </w:numPr>
        <w:tabs>
          <w:tab w:val="clear" w:pos="720"/>
          <w:tab w:val="left" w:pos="2880" w:leader="none"/>
        </w:tabs>
        <w:spacing w:before="0" w:after="120"/>
        <w:ind w:hanging="360" w:start="2880" w:end="0"/>
        <w:rPr/>
      </w:pPr>
      <w:r>
        <w:rPr/>
        <w:t>The ISO is discriminatory in requesting OOM energy and capacity – at prices far beyond the price cap – from only certain market participants.</w:t>
      </w:r>
    </w:p>
    <w:p>
      <w:pPr>
        <w:pStyle w:val="Normal"/>
        <w:numPr>
          <w:ilvl w:val="0"/>
          <w:numId w:val="31"/>
        </w:numPr>
        <w:tabs>
          <w:tab w:val="clear" w:pos="720"/>
          <w:tab w:val="left" w:pos="2880" w:leader="none"/>
        </w:tabs>
        <w:spacing w:before="0" w:after="120"/>
        <w:ind w:hanging="360" w:start="2880" w:end="0"/>
        <w:rPr/>
      </w:pPr>
      <w:r>
        <w:rPr/>
        <w:t>It is unclear how the ISO identifies OOM energy suppliers and how the ISO makes arrangements for replacement reserves under OOM on a purely bilateral basis.</w:t>
      </w:r>
    </w:p>
    <w:p>
      <w:pPr>
        <w:pStyle w:val="Normal"/>
        <w:numPr>
          <w:ilvl w:val="0"/>
          <w:numId w:val="31"/>
        </w:numPr>
        <w:tabs>
          <w:tab w:val="clear" w:pos="720"/>
          <w:tab w:val="left" w:pos="2880" w:leader="none"/>
        </w:tabs>
        <w:spacing w:before="0" w:after="120"/>
        <w:ind w:hanging="360" w:start="2880" w:end="0"/>
        <w:rPr/>
      </w:pPr>
      <w:r>
        <w:rPr/>
        <w:t>FERC should require the ISO to establish a clear acquisition process for OOM calls through a real-time bulletin board.</w:t>
      </w:r>
    </w:p>
    <w:p>
      <w:pPr>
        <w:pStyle w:val="Normal"/>
        <w:numPr>
          <w:ilvl w:val="0"/>
          <w:numId w:val="31"/>
        </w:numPr>
        <w:tabs>
          <w:tab w:val="clear" w:pos="720"/>
          <w:tab w:val="left" w:pos="2880" w:leader="none"/>
        </w:tabs>
        <w:spacing w:before="0" w:after="120"/>
        <w:ind w:hanging="360" w:start="2880" w:end="0"/>
        <w:rPr/>
      </w:pPr>
      <w:r>
        <w:rPr/>
        <w:t>FERC should review the ISO’s complex and arcane procedures for real-time dispatch and for allocating the costs of OOM purchases.  The most appropriate method is for the ISO to place energy costs in the BEEP stack, such that these can set the real-time balancing energy price.</w:t>
      </w:r>
    </w:p>
    <w:p>
      <w:pPr>
        <w:pStyle w:val="Header"/>
        <w:tabs>
          <w:tab w:val="clear" w:pos="4680"/>
          <w:tab w:val="clear" w:pos="9360"/>
        </w:tabs>
        <w:spacing w:before="0" w:after="120"/>
        <w:rPr/>
      </w:pPr>
      <w:r>
        <w:rPr/>
        <w:t>IX.</w:t>
        <w:tab/>
        <w:t>Governance of the ISO and PX</w:t>
      </w:r>
    </w:p>
    <w:p>
      <w:pPr>
        <w:pStyle w:val="Normal"/>
        <w:numPr>
          <w:ilvl w:val="0"/>
          <w:numId w:val="4"/>
        </w:numPr>
        <w:spacing w:before="0" w:after="120"/>
        <w:rPr/>
      </w:pPr>
      <w:r>
        <w:rPr/>
        <w:t>Governance issues must be addressed to create an open and efficient market.</w:t>
      </w:r>
    </w:p>
    <w:p>
      <w:pPr>
        <w:pStyle w:val="Normal"/>
        <w:numPr>
          <w:ilvl w:val="0"/>
          <w:numId w:val="4"/>
        </w:numPr>
        <w:spacing w:before="0" w:after="120"/>
        <w:rPr/>
      </w:pPr>
      <w:r>
        <w:rPr/>
        <w:t>A market institution whose governance is dominated by market participants – be they commercial or governmental – can’t be effective.</w:t>
      </w:r>
    </w:p>
    <w:p>
      <w:pPr>
        <w:pStyle w:val="Normal"/>
        <w:numPr>
          <w:ilvl w:val="0"/>
          <w:numId w:val="4"/>
        </w:numPr>
        <w:spacing w:before="0" w:after="120"/>
        <w:rPr/>
      </w:pPr>
      <w:r>
        <w:rPr/>
        <w:t>How should the FERC act to improve ISO and PX governance?</w:t>
      </w:r>
    </w:p>
    <w:p>
      <w:pPr>
        <w:pStyle w:val="Normal"/>
        <w:numPr>
          <w:ilvl w:val="0"/>
          <w:numId w:val="14"/>
        </w:numPr>
        <w:tabs>
          <w:tab w:val="clear" w:pos="720"/>
          <w:tab w:val="left" w:pos="2160" w:leader="none"/>
        </w:tabs>
        <w:spacing w:before="0" w:after="120"/>
        <w:ind w:hanging="720" w:start="2160" w:end="0"/>
        <w:rPr/>
      </w:pPr>
      <w:r>
        <w:rPr/>
        <w:t>The Commission should require that the California ISO and California PX governance structures be overhauled to create truly independent oversight.  The approach that has been proposed for the NW RTO would achieve independence and effective stakeholder input.</w:t>
      </w:r>
    </w:p>
    <w:p>
      <w:pPr>
        <w:pStyle w:val="Normal"/>
        <w:keepNext w:val="true"/>
        <w:numPr>
          <w:ilvl w:val="0"/>
          <w:numId w:val="10"/>
        </w:numPr>
        <w:tabs>
          <w:tab w:val="left" w:pos="720" w:leader="none"/>
        </w:tabs>
        <w:spacing w:before="0" w:after="120"/>
        <w:rPr/>
      </w:pPr>
      <w:r>
        <w:rPr/>
        <w:t>What Will Not Work To Fix The California Markets?</w:t>
      </w:r>
    </w:p>
    <w:p>
      <w:pPr>
        <w:pStyle w:val="Normal"/>
        <w:keepNext w:val="true"/>
        <w:numPr>
          <w:ilvl w:val="0"/>
          <w:numId w:val="8"/>
        </w:numPr>
        <w:tabs>
          <w:tab w:val="clear" w:pos="720"/>
          <w:tab w:val="left" w:pos="1440" w:leader="none"/>
        </w:tabs>
        <w:spacing w:before="0" w:after="120"/>
        <w:ind w:hanging="360" w:start="1080" w:end="0"/>
        <w:rPr/>
      </w:pPr>
      <w:r>
        <w:rPr/>
        <w:t>Combining the PX and ISO functions will not help.</w:t>
      </w:r>
    </w:p>
    <w:p>
      <w:pPr>
        <w:pStyle w:val="Normal"/>
        <w:keepNext w:val="true"/>
        <w:numPr>
          <w:ilvl w:val="0"/>
          <w:numId w:val="8"/>
        </w:numPr>
        <w:tabs>
          <w:tab w:val="clear" w:pos="720"/>
          <w:tab w:val="left" w:pos="1440" w:leader="none"/>
        </w:tabs>
        <w:spacing w:before="0" w:after="120"/>
        <w:ind w:hanging="720" w:start="1440" w:end="0"/>
        <w:rPr/>
      </w:pPr>
      <w:r>
        <w:rPr/>
        <w:t>Return to cost-based rates is impractical, uneconomical and unjustified.  The three California utilities no longer own substantial amounts of generating assets.</w:t>
      </w:r>
    </w:p>
    <w:p>
      <w:pPr>
        <w:pStyle w:val="Normal"/>
        <w:numPr>
          <w:ilvl w:val="0"/>
          <w:numId w:val="8"/>
        </w:numPr>
        <w:tabs>
          <w:tab w:val="clear" w:pos="720"/>
          <w:tab w:val="left" w:pos="1440" w:leader="none"/>
        </w:tabs>
        <w:spacing w:before="0" w:after="120"/>
        <w:ind w:hanging="360" w:start="1080" w:end="0"/>
        <w:rPr/>
      </w:pPr>
      <w:r>
        <w:rPr/>
        <w:t>FERC approval of forward contracts.</w:t>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Book Antiqua">
    <w:altName w:val="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p>
    <w:pPr>
      <w:pStyle w:val="Footer"/>
      <w:rPr/>
    </w:pPr>
    <w:bookmarkStart w:id="0" w:name="DocID"/>
    <w:r>
      <w:rPr/>
      <w:t>Portlnd3-1314158.1  0045413-00002</w:t>
    </w:r>
    <w:bookmarkEnd w:id="0"/>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p>
    <w:pPr>
      <w:pStyle w:val="Footer"/>
      <w:rPr/>
    </w:pPr>
    <w:r>
      <w:rPr/>
      <w:t>Portlnd3-1314158.1  0045413-00002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Cal ISO MSC report at p. 12.</w:t>
      </w:r>
    </w:p>
  </w:footnote>
  <w:footnote w:id="3">
    <w:p>
      <w:pPr>
        <w:pStyle w:val="FootnoteText"/>
        <w:rPr/>
      </w:pPr>
      <w:r>
        <w:rPr>
          <w:rStyle w:val="FootnoteCharacters"/>
        </w:rPr>
        <w:footnoteRef/>
      </w:r>
      <w:r>
        <w:rPr/>
        <w:t xml:space="preserve">  </w:t>
      </w:r>
      <w:r>
        <w:rPr/>
        <w:t>Reference to Milgrom article required here.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upperRoman"/>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decimal"/>
      <w:lvlText w:val="%1."/>
      <w:lvlJc w:val="start"/>
      <w:pPr>
        <w:tabs>
          <w:tab w:val="num" w:pos="1440"/>
        </w:tabs>
        <w:ind w:start="1440" w:hanging="720"/>
      </w:pPr>
    </w:lvl>
  </w:abstractNum>
  <w:abstractNum w:abstractNumId="7">
    <w:lvl w:ilvl="0">
      <w:start w:val="1"/>
      <w:numFmt w:val="decimal"/>
      <w:lvlText w:val="%1."/>
      <w:lvlJc w:val="start"/>
      <w:pPr>
        <w:tabs>
          <w:tab w:val="num" w:pos="1440"/>
        </w:tabs>
        <w:ind w:start="1440" w:hanging="720"/>
      </w:pPr>
    </w:lvl>
  </w:abstractNum>
  <w:abstractNum w:abstractNumId="8">
    <w:lvl w:ilvl="0">
      <w:start w:val="1"/>
      <w:numFmt w:val="upperLetter"/>
      <w:lvlText w:val="%1."/>
      <w:lvlJc w:val="start"/>
      <w:pPr>
        <w:tabs>
          <w:tab w:val="num" w:pos="360"/>
        </w:tabs>
        <w:ind w:start="360" w:hanging="360"/>
      </w:pPr>
    </w:lvl>
  </w:abstractNum>
  <w:abstractNum w:abstractNumId="9">
    <w:lvl w:ilvl="0">
      <w:start w:val="1"/>
      <w:numFmt w:val="upperLetter"/>
      <w:lvlText w:val="%1."/>
      <w:lvlJc w:val="start"/>
      <w:pPr>
        <w:tabs>
          <w:tab w:val="num" w:pos="1440"/>
        </w:tabs>
        <w:ind w:start="1440" w:hanging="720"/>
      </w:pPr>
      <w:rPr/>
    </w:lvl>
  </w:abstractNum>
  <w:abstractNum w:abstractNumId="10">
    <w:lvl w:ilvl="0">
      <w:start w:val="24"/>
      <w:numFmt w:val="upperLetter"/>
      <w:lvlText w:val="%1."/>
      <w:lvlJc w:val="start"/>
      <w:pPr>
        <w:tabs>
          <w:tab w:val="num" w:pos="360"/>
        </w:tabs>
        <w:ind w:start="360" w:hanging="360"/>
      </w:pPr>
      <w:rPr/>
    </w:lvl>
  </w:abstractNum>
  <w:abstractNum w:abstractNumId="11">
    <w:lvl w:ilvl="0">
      <w:start w:val="1"/>
      <w:numFmt w:val="decimal"/>
      <w:lvlText w:val="%1."/>
      <w:lvlJc w:val="start"/>
      <w:pPr>
        <w:tabs>
          <w:tab w:val="num" w:pos="1440"/>
        </w:tabs>
        <w:ind w:start="1440" w:hanging="720"/>
      </w:pPr>
    </w:lvl>
  </w:abstractNum>
  <w:abstractNum w:abstractNumId="12">
    <w:lvl w:ilvl="0">
      <w:start w:val="1"/>
      <w:numFmt w:val="decimal"/>
      <w:lvlText w:val="%1."/>
      <w:lvlJc w:val="start"/>
      <w:pPr>
        <w:tabs>
          <w:tab w:val="num" w:pos="1440"/>
        </w:tabs>
        <w:ind w:start="1440" w:hanging="72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decimal"/>
      <w:lvlText w:val="%1."/>
      <w:lvlJc w:val="start"/>
      <w:pPr>
        <w:tabs>
          <w:tab w:val="num" w:pos="1440"/>
        </w:tabs>
        <w:ind w:start="1440" w:hanging="720"/>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decimal"/>
      <w:lvlText w:val="%1."/>
      <w:lvlJc w:val="start"/>
      <w:pPr>
        <w:tabs>
          <w:tab w:val="num" w:pos="1440"/>
        </w:tabs>
        <w:ind w:start="1440" w:hanging="360"/>
      </w:pPr>
      <w:rPr/>
    </w:lvl>
  </w:abstractNum>
  <w:abstractNum w:abstractNumId="17">
    <w:lvl w:ilvl="0">
      <w:start w:val="1"/>
      <w:numFmt w:val="decimal"/>
      <w:lvlText w:val="%1."/>
      <w:lvlJc w:val="start"/>
      <w:pPr>
        <w:tabs>
          <w:tab w:val="num" w:pos="360"/>
        </w:tabs>
        <w:ind w:start="360" w:hanging="360"/>
      </w:pPr>
      <w:rPr/>
    </w:lvl>
  </w:abstractNum>
  <w:abstractNum w:abstractNumId="18">
    <w:lvl w:ilvl="0">
      <w:start w:val="1"/>
      <w:numFmt w:val="upperRoman"/>
      <w:lvlText w:val="%1."/>
      <w:lvlJc w:val="start"/>
      <w:pPr>
        <w:tabs>
          <w:tab w:val="num" w:pos="720"/>
        </w:tabs>
        <w:ind w:start="720" w:hanging="720"/>
      </w:pPr>
    </w:lvl>
  </w:abstractNum>
  <w:abstractNum w:abstractNumId="19">
    <w:lvl w:ilvl="0">
      <w:start w:val="1"/>
      <w:numFmt w:val="decimal"/>
      <w:lvlText w:val="%1."/>
      <w:lvlJc w:val="start"/>
      <w:pPr>
        <w:tabs>
          <w:tab w:val="num" w:pos="1440"/>
        </w:tabs>
        <w:ind w:start="1440" w:hanging="720"/>
      </w:pPr>
    </w:lvl>
  </w:abstractNum>
  <w:abstractNum w:abstractNumId="20">
    <w:lvl w:ilvl="0">
      <w:start w:val="1"/>
      <w:numFmt w:val="upperLetter"/>
      <w:lvlText w:val="%1."/>
      <w:lvlJc w:val="start"/>
      <w:pPr>
        <w:tabs>
          <w:tab w:val="num" w:pos="360"/>
        </w:tabs>
        <w:ind w:start="360" w:hanging="360"/>
      </w:pPr>
    </w:lvl>
  </w:abstractNum>
  <w:abstractNum w:abstractNumId="21">
    <w:lvl w:ilvl="0">
      <w:start w:val="1"/>
      <w:numFmt w:val="upperLetter"/>
      <w:lvlText w:val="%1."/>
      <w:lvlJc w:val="start"/>
      <w:pPr>
        <w:tabs>
          <w:tab w:val="num" w:pos="1440"/>
        </w:tabs>
        <w:ind w:start="1440" w:hanging="720"/>
      </w:pPr>
    </w:lvl>
  </w:abstractNum>
  <w:abstractNum w:abstractNumId="22">
    <w:lvl w:ilvl="0">
      <w:start w:val="1"/>
      <w:numFmt w:val="decimal"/>
      <w:lvlText w:val="%1."/>
      <w:lvlJc w:val="start"/>
      <w:pPr>
        <w:tabs>
          <w:tab w:val="num" w:pos="1440"/>
        </w:tabs>
        <w:ind w:start="1440" w:hanging="360"/>
      </w:pPr>
      <w:rPr/>
    </w:lvl>
  </w:abstractNum>
  <w:abstractNum w:abstractNumId="23">
    <w:lvl w:ilvl="0">
      <w:start w:val="1"/>
      <w:numFmt w:val="upperLetter"/>
      <w:lvlText w:val="%1."/>
      <w:lvlJc w:val="start"/>
      <w:pPr>
        <w:tabs>
          <w:tab w:val="num" w:pos="1440"/>
        </w:tabs>
        <w:ind w:start="1440" w:hanging="720"/>
      </w:pPr>
    </w:lvl>
  </w:abstractNum>
  <w:abstractNum w:abstractNumId="24">
    <w:lvl w:ilvl="0">
      <w:start w:val="1"/>
      <w:numFmt w:val="decimal"/>
      <w:lvlText w:val="%1."/>
      <w:lvlJc w:val="start"/>
      <w:pPr>
        <w:tabs>
          <w:tab w:val="num" w:pos="1800"/>
        </w:tabs>
        <w:ind w:start="1800" w:hanging="360"/>
      </w:pPr>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decimal"/>
      <w:lvlText w:val="%1."/>
      <w:lvlJc w:val="start"/>
      <w:pPr>
        <w:tabs>
          <w:tab w:val="num" w:pos="1440"/>
        </w:tabs>
        <w:ind w:start="1440" w:hanging="720"/>
      </w:pPr>
    </w:lvl>
  </w:abstractNum>
  <w:abstractNum w:abstractNumId="27">
    <w:lvl w:ilvl="0">
      <w:start w:val="1"/>
      <w:numFmt w:val="decimal"/>
      <w:lvlText w:val="%1."/>
      <w:lvlJc w:val="start"/>
      <w:pPr>
        <w:tabs>
          <w:tab w:val="num" w:pos="1440"/>
        </w:tabs>
        <w:ind w:start="1440" w:hanging="720"/>
      </w:p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decimal"/>
      <w:lvlText w:val="%1."/>
      <w:lvlJc w:val="start"/>
      <w:pPr>
        <w:tabs>
          <w:tab w:val="num" w:pos="1800"/>
        </w:tabs>
        <w:ind w:start="1800" w:hanging="360"/>
      </w:pPr>
      <w:rPr/>
    </w:lvl>
  </w:abstractNum>
  <w:abstractNum w:abstractNumId="30">
    <w:lvl w:ilvl="0">
      <w:start w:val="1"/>
      <w:numFmt w:val="upperLetter"/>
      <w:lvlText w:val="%1."/>
      <w:lvlJc w:val="start"/>
      <w:pPr>
        <w:tabs>
          <w:tab w:val="num" w:pos="360"/>
        </w:tabs>
        <w:ind w:start="360" w:hanging="360"/>
      </w:pPr>
    </w:lvl>
  </w:abstractNum>
  <w:abstractNum w:abstractNumId="31">
    <w:lvl w:ilvl="0">
      <w:start w:val="1"/>
      <w:numFmt w:val="upperLetter"/>
      <w:lvlText w:val="%1."/>
      <w:lvlJc w:val="start"/>
      <w:pPr>
        <w:tabs>
          <w:tab w:val="num" w:pos="2520"/>
        </w:tabs>
        <w:ind w:start="2520" w:hanging="360"/>
      </w:pPr>
      <w:rPr/>
    </w:lvl>
  </w:abstractNum>
  <w:abstractNum w:abstractNumId="32">
    <w:lvl w:ilvl="0">
      <w:start w:val="1"/>
      <w:numFmt w:val="upperLetter"/>
      <w:lvlText w:val="%1."/>
      <w:lvlJc w:val="start"/>
      <w:pPr>
        <w:tabs>
          <w:tab w:val="num" w:pos="1440"/>
        </w:tabs>
        <w:ind w:start="1440" w:hanging="720"/>
      </w:pPr>
      <w:rPr/>
    </w:lvl>
  </w:abstractNum>
  <w:abstractNum w:abstractNumId="33">
    <w:lvl w:ilvl="0">
      <w:start w:val="1"/>
      <w:numFmt w:val="upperLetter"/>
      <w:lvlText w:val="%1."/>
      <w:lvlJc w:val="start"/>
      <w:pPr>
        <w:tabs>
          <w:tab w:val="num" w:pos="1080"/>
        </w:tabs>
        <w:ind w:start="1080" w:hanging="360"/>
      </w:pPr>
      <w:rPr/>
    </w:lvl>
  </w:abstractNum>
  <w:abstractNum w:abstractNumId="34">
    <w:lvl w:ilvl="0">
      <w:start w:val="1"/>
      <w:numFmt w:val="decimal"/>
      <w:lvlText w:val="%1."/>
      <w:lvlJc w:val="start"/>
      <w:pPr>
        <w:tabs>
          <w:tab w:val="num" w:pos="1440"/>
        </w:tabs>
        <w:ind w:start="1440" w:hanging="720"/>
      </w:pPr>
    </w:lvl>
  </w:abstractNum>
  <w:abstractNum w:abstractNumId="35">
    <w:lvl w:ilvl="0">
      <w:start w:val="1"/>
      <w:numFmt w:val="decimal"/>
      <w:lvlText w:val="%1."/>
      <w:lvlJc w:val="start"/>
      <w:pPr>
        <w:tabs>
          <w:tab w:val="num" w:pos="1440"/>
        </w:tabs>
        <w:ind w:start="1440" w:hanging="360"/>
      </w:pPr>
      <w:rPr/>
    </w:lvl>
  </w:abstractNum>
  <w:abstractNum w:abstractNumId="36">
    <w:lvl w:ilvl="0">
      <w:start w:val="1"/>
      <w:numFmt w:val="decimal"/>
      <w:lvlText w:val="%1."/>
      <w:lvlJc w:val="start"/>
      <w:pPr>
        <w:tabs>
          <w:tab w:val="num" w:pos="1440"/>
        </w:tabs>
        <w:ind w:start="1440" w:hanging="720"/>
      </w:pPr>
    </w:lvl>
  </w:abstractNum>
  <w:abstractNum w:abstractNumId="37">
    <w:lvl w:ilvl="0">
      <w:start w:val="1"/>
      <w:numFmt w:val="decimal"/>
      <w:lvlText w:val="%1."/>
      <w:lvlJc w:val="start"/>
      <w:pPr>
        <w:tabs>
          <w:tab w:val="num" w:pos="1440"/>
        </w:tabs>
        <w:ind w:start="1440" w:hanging="720"/>
      </w:pPr>
    </w:lvl>
  </w:abstractNum>
  <w:abstractNum w:abstractNumId="38">
    <w:lvl w:ilvl="0">
      <w:start w:val="1"/>
      <w:numFmt w:val="upperLetter"/>
      <w:lvlText w:val="%1."/>
      <w:lvlJc w:val="start"/>
      <w:pPr>
        <w:tabs>
          <w:tab w:val="num" w:pos="1440"/>
        </w:tabs>
        <w:ind w:start="144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Normal"/>
    <w:qFormat/>
    <w:pPr>
      <w:keepNext w:val="true"/>
      <w:numPr>
        <w:ilvl w:val="3"/>
        <w:numId w:val="1"/>
      </w:numPr>
      <w:tabs>
        <w:tab w:val="clear" w:pos="720"/>
        <w:tab w:val="left" w:pos="864" w:leader="none"/>
      </w:tabs>
      <w:suppressAutoHyphens w:val="true"/>
      <w:spacing w:before="240" w:after="120"/>
      <w:jc w:val="both"/>
      <w:outlineLvl w:val="3"/>
    </w:pPr>
    <w:rPr>
      <w:rFonts w:ascii="Book Antiqua;Bookman Old Style" w:hAnsi="Book Antiqua;Bookman Old Style" w:cs="Book Antiqua;Bookman Old Style"/>
      <w:b/>
      <w:sz w:val="22"/>
    </w:rPr>
  </w:style>
  <w:style w:type="paragraph" w:styleId="Heading5">
    <w:name w:val="heading 5"/>
    <w:basedOn w:val="Normal"/>
    <w:next w:val="Normal"/>
    <w:qFormat/>
    <w:pPr>
      <w:numPr>
        <w:ilvl w:val="4"/>
        <w:numId w:val="1"/>
      </w:numPr>
      <w:suppressAutoHyphens w:val="true"/>
      <w:spacing w:before="0" w:after="240"/>
      <w:jc w:val="both"/>
      <w:outlineLvl w:val="4"/>
    </w:pPr>
    <w:rPr>
      <w:rFonts w:ascii="Book Antiqua;Bookman Old Style" w:hAnsi="Book Antiqua;Bookman Old Style" w:cs="Book Antiqua;Bookman Old Style"/>
      <w:sz w:val="22"/>
    </w:rPr>
  </w:style>
  <w:style w:type="paragraph" w:styleId="Heading6">
    <w:name w:val="heading 6"/>
    <w:basedOn w:val="Normal"/>
    <w:next w:val="Normal"/>
    <w:qFormat/>
    <w:pPr>
      <w:numPr>
        <w:ilvl w:val="5"/>
        <w:numId w:val="1"/>
      </w:numPr>
      <w:suppressAutoHyphens w:val="true"/>
      <w:spacing w:before="0" w:after="240"/>
      <w:jc w:val="both"/>
      <w:outlineLvl w:val="5"/>
    </w:pPr>
    <w:rPr>
      <w:rFonts w:ascii="Book Antiqua;Bookman Old Style" w:hAnsi="Book Antiqua;Bookman Old Style" w:cs="Book Antiqua;Bookman Old Style"/>
      <w:sz w:val="22"/>
    </w:rPr>
  </w:style>
  <w:style w:type="paragraph" w:styleId="Heading7">
    <w:name w:val="heading 7"/>
    <w:basedOn w:val="Normal"/>
    <w:next w:val="Normal"/>
    <w:qFormat/>
    <w:pPr>
      <w:numPr>
        <w:ilvl w:val="6"/>
        <w:numId w:val="1"/>
      </w:numPr>
      <w:suppressAutoHyphens w:val="true"/>
      <w:spacing w:before="0" w:after="240"/>
      <w:jc w:val="both"/>
      <w:outlineLvl w:val="6"/>
    </w:pPr>
    <w:rPr>
      <w:rFonts w:ascii="Book Antiqua;Bookman Old Style" w:hAnsi="Book Antiqua;Bookman Old Style" w:cs="Book Antiqua;Bookman Old Style"/>
      <w:sz w:val="22"/>
    </w:rPr>
  </w:style>
  <w:style w:type="paragraph" w:styleId="Heading8">
    <w:name w:val="heading 8"/>
    <w:basedOn w:val="Normal"/>
    <w:next w:val="Normal"/>
    <w:qFormat/>
    <w:pPr>
      <w:numPr>
        <w:ilvl w:val="7"/>
        <w:numId w:val="1"/>
      </w:numPr>
      <w:suppressAutoHyphens w:val="true"/>
      <w:spacing w:before="0" w:after="240"/>
      <w:jc w:val="both"/>
      <w:outlineLvl w:val="7"/>
    </w:pPr>
    <w:rPr>
      <w:rFonts w:ascii="Book Antiqua;Bookman Old Style" w:hAnsi="Book Antiqua;Bookman Old Style" w:cs="Book Antiqua;Bookman Old Style"/>
      <w:sz w:val="22"/>
    </w:rPr>
  </w:style>
  <w:style w:type="paragraph" w:styleId="Heading9">
    <w:name w:val="heading 9"/>
    <w:basedOn w:val="Normal"/>
    <w:next w:val="Normal"/>
    <w:qFormat/>
    <w:pPr>
      <w:numPr>
        <w:ilvl w:val="8"/>
        <w:numId w:val="1"/>
      </w:numPr>
      <w:suppressAutoHyphens w:val="true"/>
      <w:spacing w:before="0" w:after="240"/>
      <w:jc w:val="both"/>
      <w:outlineLvl w:val="8"/>
    </w:pPr>
    <w:rPr>
      <w:rFonts w:ascii="Book Antiqua;Bookman Old Style" w:hAnsi="Book Antiqua;Bookman Old Style" w:cs="Book Antiqua;Bookman Old Style"/>
      <w:sz w:val="22"/>
    </w:rPr>
  </w:style>
  <w:style w:type="character" w:styleId="WW8Num2z0">
    <w:name w:val="WW8Num2z0"/>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style>
  <w:style w:type="character" w:styleId="WW8Num18z0">
    <w:name w:val="WW8Num18z0"/>
    <w:qFormat/>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2z0">
    <w:name w:val="WW8Num32z0"/>
    <w:qFormat/>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50z0">
    <w:name w:val="WW8Num50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6z0">
    <w:name w:val="WW8Num56z0"/>
    <w:qFormat/>
    <w:rPr>
      <w:rFonts w:ascii="Symbol" w:hAnsi="Symbol" w:cs="Symbol"/>
    </w:rPr>
  </w:style>
  <w:style w:type="character" w:styleId="WW8Num61z0">
    <w:name w:val="WW8Num61z0"/>
    <w:qFormat/>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70z0">
    <w:name w:val="WW8Num70z0"/>
    <w:qFormat/>
    <w:rPr/>
  </w:style>
  <w:style w:type="character" w:styleId="WW8Num71z0">
    <w:name w:val="WW8Num71z0"/>
    <w:qFormat/>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4z0">
    <w:name w:val="WW8Num74z0"/>
    <w:qFormat/>
    <w:rPr>
      <w:rFonts w:ascii="Symbol" w:hAnsi="Symbol" w:cs="Symbol"/>
    </w:rPr>
  </w:style>
  <w:style w:type="character" w:styleId="WW8Num77z0">
    <w:name w:val="WW8Num77z0"/>
    <w:qFormat/>
    <w:rPr/>
  </w:style>
  <w:style w:type="character" w:styleId="WW8Num78z0">
    <w:name w:val="WW8Num78z0"/>
    <w:qFormat/>
    <w:rPr>
      <w:sz w:val="22"/>
    </w:rPr>
  </w:style>
  <w:style w:type="character" w:styleId="WW8Num79z0">
    <w:name w:val="WW8Num79z0"/>
    <w:qFormat/>
    <w:rPr/>
  </w:style>
  <w:style w:type="character" w:styleId="WW8Num80z0">
    <w:name w:val="WW8Num80z0"/>
    <w:qFormat/>
    <w:rPr/>
  </w:style>
  <w:style w:type="character" w:styleId="WW8Num83z1">
    <w:name w:val="WW8Num83z1"/>
    <w:qFormat/>
    <w:rPr/>
  </w:style>
  <w:style w:type="character" w:styleId="WW8Num84z0">
    <w:name w:val="WW8Num84z0"/>
    <w:qFormat/>
    <w:rPr>
      <w:rFonts w:ascii="Symbol" w:hAnsi="Symbol" w:cs="Symbol"/>
    </w:rPr>
  </w:style>
  <w:style w:type="character" w:styleId="WW8Num85z0">
    <w:name w:val="WW8Num85z0"/>
    <w:qFormat/>
    <w:rPr/>
  </w:style>
  <w:style w:type="character" w:styleId="WW8Num87z0">
    <w:name w:val="WW8Num87z0"/>
    <w:qFormat/>
    <w:rPr>
      <w:sz w:val="22"/>
    </w:rPr>
  </w:style>
  <w:style w:type="character" w:styleId="WW8Num89z0">
    <w:name w:val="WW8Num89z0"/>
    <w:qFormat/>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CG Times" w:hAnsi="CG Times" w:cs="CG Times"/>
      <w:sz w:val="24"/>
    </w:rPr>
  </w:style>
  <w:style w:type="character" w:styleId="FootnoteCharacters">
    <w:name w:val="Footnote Characters"/>
    <w:basedOn w:val="DefaultParagraphFont"/>
    <w:qFormat/>
    <w:rPr>
      <w:rFonts w:ascii="Book Antiqua;Bookman Old Style" w:hAnsi="Book Antiqua;Bookman Old Style" w:cs="Book Antiqua;Bookman Old Style"/>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TOC1">
    <w:name w:val="toc 1"/>
    <w:basedOn w:val="Normal"/>
    <w:next w:val="Normal"/>
    <w:pPr>
      <w:tabs>
        <w:tab w:val="left" w:pos="720" w:leader="none"/>
        <w:tab w:val="right" w:pos="9360" w:leader="dot"/>
      </w:tabs>
      <w:spacing w:before="240" w:after="0"/>
      <w:ind w:hanging="720" w:start="720" w:end="720"/>
    </w:pPr>
    <w:rPr/>
  </w:style>
  <w:style w:type="paragraph" w:styleId="TOC2">
    <w:name w:val="toc 2"/>
    <w:basedOn w:val="Normal"/>
    <w:next w:val="Normal"/>
    <w:pPr>
      <w:tabs>
        <w:tab w:val="clear" w:pos="720"/>
        <w:tab w:val="left" w:pos="1440" w:leader="none"/>
        <w:tab w:val="right" w:pos="9360" w:leader="dot"/>
      </w:tabs>
      <w:ind w:hanging="720" w:start="1440" w:end="720"/>
    </w:pPr>
    <w:rPr/>
  </w:style>
  <w:style w:type="paragraph" w:styleId="TOC3">
    <w:name w:val="toc 3"/>
    <w:basedOn w:val="Normal"/>
    <w:next w:val="Normal"/>
    <w:pPr>
      <w:tabs>
        <w:tab w:val="clear" w:pos="720"/>
        <w:tab w:val="left" w:pos="2160" w:leader="none"/>
        <w:tab w:val="right" w:pos="9360" w:leader="dot"/>
      </w:tabs>
      <w:ind w:hanging="720" w:start="2160" w:end="720"/>
    </w:pPr>
    <w:rPr/>
  </w:style>
  <w:style w:type="paragraph" w:styleId="TOC4">
    <w:name w:val="toc 4"/>
    <w:basedOn w:val="Normal"/>
    <w:next w:val="Normal"/>
    <w:pPr>
      <w:tabs>
        <w:tab w:val="clear" w:pos="720"/>
        <w:tab w:val="left" w:pos="2880" w:leader="none"/>
        <w:tab w:val="right" w:pos="9360" w:leader="dot"/>
      </w:tabs>
      <w:ind w:hanging="720" w:start="2880" w:end="720"/>
    </w:pPr>
    <w:rPr/>
  </w:style>
  <w:style w:type="paragraph" w:styleId="TOC5">
    <w:name w:val="toc 5"/>
    <w:basedOn w:val="Normal"/>
    <w:next w:val="Normal"/>
    <w:pPr>
      <w:tabs>
        <w:tab w:val="clear" w:pos="720"/>
        <w:tab w:val="left" w:pos="3600" w:leader="none"/>
        <w:tab w:val="right" w:pos="9360" w:leader="dot"/>
      </w:tabs>
      <w:ind w:hanging="720" w:start="3600" w:end="720"/>
    </w:pPr>
    <w:rPr/>
  </w:style>
  <w:style w:type="paragraph" w:styleId="FootnoteText">
    <w:name w:val="footnote text"/>
    <w:basedOn w:val="Normal"/>
    <w:pPr>
      <w:ind w:firstLine="720" w:start="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TableofAuthorities">
    <w:name w:val="Table of Authorities"/>
    <w:basedOn w:val="Normal"/>
    <w:next w:val="Normal"/>
    <w:qFormat/>
    <w:pPr>
      <w:spacing w:before="0" w:after="240"/>
      <w:ind w:hanging="720" w:start="720" w:end="0"/>
    </w:pPr>
    <w:rPr/>
  </w:style>
  <w:style w:type="paragraph" w:styleId="TOAHeading">
    <w:name w:val="TOA Heading"/>
    <w:basedOn w:val="Normal"/>
    <w:next w:val="Normal"/>
    <w:qFormat/>
    <w:pPr>
      <w:spacing w:before="240" w:after="240"/>
    </w:pPr>
    <w:rPr>
      <w:b/>
    </w:rPr>
  </w:style>
  <w:style w:type="paragraph" w:styleId="FaxNormal">
    <w:name w:val="FaxNormal"/>
    <w:basedOn w:val="Normal"/>
    <w:qFormat/>
    <w:pPr>
      <w:suppressAutoHyphens w:val="true"/>
      <w:jc w:val="both"/>
    </w:pPr>
    <w:rPr>
      <w:rFonts w:ascii="Book Antiqua;Bookman Old Style" w:hAnsi="Book Antiqua;Bookman Old Style" w:cs="Book Antiqua;Bookman Old Style"/>
      <w:sz w:val="22"/>
    </w:rPr>
  </w:style>
  <w:style w:type="paragraph" w:styleId="BodyText3">
    <w:name w:val="Body Text 3"/>
    <w:basedOn w:val="Normal"/>
    <w:qFormat/>
    <w:pPr>
      <w:spacing w:before="0" w:after="120"/>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2000-10-11T15:52:00Z</dcterms:created>
  <dc:creator>Sharon Peterson</dc:creator>
  <dc:description/>
  <dc:language>en-CA</dc:language>
  <cp:lastModifiedBy>mhain</cp:lastModifiedBy>
  <cp:lastPrinted>2000-10-11T12:39:00Z</cp:lastPrinted>
  <dcterms:modified xsi:type="dcterms:W3CDTF">2000-10-11T17:09:00Z</dcterms:modified>
  <cp:revision>5</cp:revision>
  <dc:subject/>
  <dc:title>A Summary of Fixing What is Broken:  What Steps Should FERC Take to Complete California’s Power Markets</dc:title>
</cp:coreProperties>
</file>