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612" w:type="dxa"/>
        <w:jc w:val="start"/>
        <w:tblInd w:w="108" w:type="dxa"/>
        <w:tblLayout w:type="fixed"/>
        <w:tblCellMar>
          <w:top w:w="0" w:type="dxa"/>
          <w:start w:w="108" w:type="dxa"/>
          <w:bottom w:w="0" w:type="dxa"/>
          <w:end w:w="108" w:type="dxa"/>
        </w:tblCellMar>
      </w:tblPr>
      <w:tblGrid>
        <w:gridCol w:w="1440"/>
        <w:gridCol w:w="4032"/>
        <w:gridCol w:w="1232"/>
        <w:gridCol w:w="307"/>
        <w:gridCol w:w="514"/>
        <w:gridCol w:w="2087"/>
      </w:tblGrid>
      <w:tr>
        <w:trPr>
          <w:trHeight w:val="320" w:hRule="atLeas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4032" w:type="dxa"/>
            <w:tcBorders>
              <w:top w:val="dashed" w:sz="6" w:space="0" w:color="auto"/>
              <w:start w:val="dashed" w:sz="6" w:space="0" w:color="auto"/>
              <w:bottom w:val="dashed" w:sz="6" w:space="0" w:color="auto"/>
              <w:end w:val="dashed" w:sz="6" w:space="0" w:color="auto"/>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4032"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4032" w:type="dxa"/>
            <w:tcBorders>
              <w:top w:val="dashed" w:sz="6" w:space="0" w:color="auto"/>
              <w:start w:val="dashed" w:sz="6" w:space="0" w:color="auto"/>
              <w:bottom w:val="dashed" w:sz="6" w:space="0" w:color="auto"/>
              <w:end w:val="dashed" w:sz="6" w:space="0" w:color="auto"/>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539" w:type="dxa"/>
            <w:gridSpan w:val="2"/>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op w:val="dashed" w:sz="6" w:space="0" w:color="auto"/>
              <w:start w:val="dashed" w:sz="6" w:space="0" w:color="auto"/>
              <w:bottom w:val="dashed" w:sz="6" w:space="0" w:color="auto"/>
              <w:end w:val="dashed" w:sz="6" w:space="0" w:color="auto"/>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4032"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873"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4032" w:type="dxa"/>
            <w:tcBorders>
              <w:top w:val="dashed" w:sz="6" w:space="0" w:color="auto"/>
              <w:start w:val="dashed" w:sz="6" w:space="0" w:color="auto"/>
              <w:bottom w:val="dashed" w:sz="6" w:space="0" w:color="auto"/>
              <w:end w:val="dashed" w:sz="6" w:space="0" w:color="auto"/>
            </w:tcBorders>
          </w:tcPr>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Electronic Service of Documents</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RM01-11</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Notice of Inquiry</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1232" w:type="dxa"/>
            <w:tcBorders>
              <w:top w:val="dashed" w:sz="6" w:space="0" w:color="auto"/>
              <w:start w:val="dashed" w:sz="6" w:space="0" w:color="auto"/>
              <w:bottom w:val="dashed" w:sz="6" w:space="0" w:color="auto"/>
              <w:end w:val="dashed" w:sz="6" w:space="0" w:color="auto"/>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op w:val="dashed" w:sz="6" w:space="0" w:color="auto"/>
              <w:start w:val="dashed" w:sz="6" w:space="0" w:color="auto"/>
              <w:bottom w:val="dashed" w:sz="6" w:space="0" w:color="auto"/>
              <w:end w:val="dashed" w:sz="6" w:space="0" w:color="auto"/>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October 4, 2001</w:t>
            </w:r>
          </w:p>
        </w:tc>
      </w:tr>
    </w:tbl>
    <w:p>
      <w:pPr>
        <w:pStyle w:val="Normal"/>
        <w:pBdr>
          <w:bottom w:val="single" w:sz="12" w:space="0" w:color="000000"/>
        </w:pBdr>
        <w:rPr>
          <w:sz w:val="22"/>
          <w:szCs w:val="22"/>
        </w:rPr>
      </w:pPr>
      <w:r>
        <w:rPr>
          <w:sz w:val="22"/>
          <w:szCs w:val="22"/>
        </w:rPr>
      </w:r>
    </w:p>
    <w:p>
      <w:pPr>
        <w:pStyle w:val="Normal"/>
        <w:rPr>
          <w:sz w:val="22"/>
          <w:szCs w:val="22"/>
        </w:rPr>
      </w:pPr>
      <w:r>
        <w:rPr>
          <w:sz w:val="22"/>
          <w:szCs w:val="22"/>
        </w:rPr>
      </w:r>
    </w:p>
    <w:p>
      <w:pPr>
        <w:pStyle w:val="Heading1"/>
        <w:ind w:hanging="0" w:start="0"/>
        <w:rPr/>
      </w:pPr>
      <w:r>
        <w:rPr/>
        <w:t>Summary</w:t>
      </w:r>
    </w:p>
    <w:p>
      <w:pPr>
        <w:pStyle w:val="BodyText"/>
        <w:rPr/>
      </w:pPr>
      <w:r>
        <w:rPr/>
        <w:t xml:space="preserve">This Notice of Inquiry  presents options for the Commission to revise regulations to serve documents on parties through electronic means. (eService). The Commission is also pursuing interest levels on a subscription service allowing for documents issued by the Commission to be handled by electronic means to the individual (eDistribution). </w:t>
      </w:r>
    </w:p>
    <w:p>
      <w:pPr>
        <w:pStyle w:val="BodyText"/>
        <w:rPr/>
      </w:pPr>
      <w:r>
        <w:rPr/>
      </w:r>
    </w:p>
    <w:p>
      <w:pPr>
        <w:pStyle w:val="Heading1"/>
        <w:ind w:hanging="0" w:start="0"/>
        <w:rPr/>
      </w:pPr>
      <w:r>
        <w:rPr/>
        <w:t>Comments</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Comments are due November 2, 2001. Provide executive summary. Double space comments. If filed electronically, no paper copies required. Electronic filing should be submitted to </w:t>
      </w:r>
    </w:p>
    <w:p>
      <w:pPr>
        <w:pStyle w:val="Subject"/>
        <w:rPr>
          <w:rFonts w:ascii="Times New Roman" w:hAnsi="Times New Roman" w:eastAsia="Times New Roman" w:cs="Times New Roman"/>
        </w:rPr>
      </w:pPr>
      <w:r>
        <w:rPr>
          <w:rStyle w:val="Hyperlink"/>
          <w:sz w:val="22"/>
          <w:szCs w:val="22"/>
        </w:rPr>
        <w:t>www.ferc.gov</w:t>
      </w:r>
      <w:r>
        <w:rPr>
          <w:rFonts w:eastAsia="Times New Roman" w:cs="Times New Roman" w:ascii="Times New Roman" w:hAnsi="Times New Roman"/>
          <w:sz w:val="22"/>
          <w:szCs w:val="22"/>
        </w:rPr>
        <w:t xml:space="preserve"> and click on “E-filing.” If there is agreement that we should file comments, I will coordinate the filing.</w:t>
      </w:r>
    </w:p>
    <w:p>
      <w:pPr>
        <w:pStyle w:val="Normal"/>
        <w:rPr>
          <w:rFonts w:ascii="Times New Roman" w:hAnsi="Times New Roman" w:eastAsia="Times New Roman" w:cs="Times New Roman"/>
          <w:sz w:val="22"/>
          <w:szCs w:val="22"/>
        </w:rPr>
      </w:pPr>
      <w:r>
        <w:rPr>
          <w:rFonts w:eastAsia="Times New Roman" w:cs="Times New Roman"/>
          <w:sz w:val="22"/>
          <w:szCs w:val="22"/>
        </w:rPr>
      </w:r>
    </w:p>
    <w:p>
      <w:pPr>
        <w:pStyle w:val="Heading1"/>
        <w:ind w:hanging="0" w:start="0"/>
        <w:rPr/>
      </w:pPr>
      <w:r>
        <w:rPr/>
        <w:t>Introduction</w:t>
      </w:r>
    </w:p>
    <w:p>
      <w:pPr>
        <w:pStyle w:val="Normal"/>
        <w:rPr>
          <w:sz w:val="22"/>
          <w:szCs w:val="22"/>
        </w:rPr>
      </w:pPr>
      <w:r>
        <w:rPr>
          <w:sz w:val="22"/>
          <w:szCs w:val="22"/>
        </w:rPr>
        <w:t>On September 27, 2001 FERC issued a Notice of Inquiry requesting comments on two proposals: 1) should the Commission serve parties electronically and 2) should the Commission provide a subscription service that would allow documents to be transmitted electronically to individuals without the process of intervening in the proceedings. Respectively, these services are eService and eDistribution. FERC states that by permitting electronic means it can achieve a degree of efficiency by reducing volumes of paper copies.</w:t>
      </w:r>
    </w:p>
    <w:p>
      <w:pPr>
        <w:pStyle w:val="Normal"/>
        <w:rPr>
          <w:sz w:val="22"/>
          <w:szCs w:val="22"/>
        </w:rPr>
      </w:pPr>
      <w:r>
        <w:rPr>
          <w:sz w:val="22"/>
          <w:szCs w:val="22"/>
        </w:rPr>
      </w:r>
    </w:p>
    <w:p>
      <w:pPr>
        <w:pStyle w:val="Heading1"/>
        <w:ind w:hanging="0" w:start="0"/>
        <w:rPr/>
      </w:pPr>
      <w:r>
        <w:rPr/>
        <w:t>Existing Regulations</w:t>
      </w:r>
    </w:p>
    <w:p>
      <w:pPr>
        <w:pStyle w:val="BodyText"/>
        <w:rPr/>
      </w:pPr>
      <w:r>
        <w:rPr/>
        <w:t xml:space="preserve">In Docket No. RM99-6, the Commission permits participants to proceedings to voluntarily serve documents on one another by electronic means. The rule was issued on May 26, 1999 and limited the scope to service among participants excluding any service by the Commission. </w:t>
      </w:r>
    </w:p>
    <w:p>
      <w:pPr>
        <w:pStyle w:val="BodyText"/>
        <w:rPr/>
      </w:pPr>
      <w:r>
        <w:rPr/>
      </w:r>
    </w:p>
    <w:p>
      <w:pPr>
        <w:pStyle w:val="BodyText"/>
        <w:rPr>
          <w:b/>
          <w:bCs/>
        </w:rPr>
      </w:pPr>
      <w:r>
        <w:rPr>
          <w:b/>
          <w:bCs/>
        </w:rPr>
        <w:t>Commission Concern</w:t>
      </w:r>
    </w:p>
    <w:p>
      <w:pPr>
        <w:pStyle w:val="BodyText"/>
        <w:rPr/>
      </w:pPr>
      <w:r>
        <w:rPr/>
        <w:t xml:space="preserve">The Commission is intent on utilizing information technology to a greater extent to reduce paper copies with electronic means. There is also an awareness that parties intervene only to be kept informed of the proceedings. This NOI obviates the need for these parties to continue that practice but would be able to access the information electronically. </w:t>
      </w:r>
    </w:p>
    <w:p>
      <w:pPr>
        <w:pStyle w:val="BodyText"/>
        <w:rPr/>
      </w:pPr>
      <w:r>
        <w:rPr/>
      </w:r>
    </w:p>
    <w:p>
      <w:pPr>
        <w:pStyle w:val="BodyText"/>
        <w:rPr>
          <w:b/>
          <w:bCs/>
        </w:rPr>
      </w:pPr>
      <w:r>
        <w:rPr>
          <w:b/>
          <w:bCs/>
        </w:rPr>
        <w:t>Questions for Comment:</w:t>
      </w:r>
    </w:p>
    <w:p>
      <w:pPr>
        <w:pStyle w:val="BodyText"/>
        <w:rPr/>
      </w:pPr>
      <w:r>
        <w:rPr/>
        <w:t>In order to encourage electronic means for documents, the Commission would like parties to reply to the following questions:</w:t>
      </w:r>
    </w:p>
    <w:p>
      <w:pPr>
        <w:pStyle w:val="BodyText"/>
        <w:rPr/>
      </w:pPr>
      <w:r>
        <w:rPr/>
      </w:r>
    </w:p>
    <w:p>
      <w:pPr>
        <w:pStyle w:val="BodyText"/>
        <w:numPr>
          <w:ilvl w:val="0"/>
          <w:numId w:val="2"/>
        </w:numPr>
        <w:tabs>
          <w:tab w:val="clear" w:pos="720"/>
          <w:tab w:val="left" w:pos="0" w:leader="none"/>
          <w:tab w:val="left" w:pos="360" w:leader="none"/>
        </w:tabs>
        <w:ind w:hanging="720" w:start="1080" w:end="0"/>
        <w:rPr/>
      </w:pPr>
      <w:r>
        <w:rPr/>
        <w:t>eService of Commission issuances</w:t>
      </w:r>
    </w:p>
    <w:p>
      <w:pPr>
        <w:pStyle w:val="BodyText"/>
        <w:numPr>
          <w:ilvl w:val="0"/>
          <w:numId w:val="0"/>
        </w:numPr>
        <w:ind w:hanging="0" w:start="720" w:end="0"/>
        <w:rPr/>
      </w:pPr>
      <w:r>
        <w:rPr/>
        <w:t>FERC wants to serve its issuances via e-mail instead of paper copy in regular mail</w:t>
      </w:r>
    </w:p>
    <w:p>
      <w:pPr>
        <w:pStyle w:val="BodyText"/>
        <w:numPr>
          <w:ilvl w:val="0"/>
          <w:numId w:val="0"/>
        </w:numPr>
        <w:ind w:hanging="0" w:start="720" w:end="0"/>
        <w:rPr/>
      </w:pPr>
      <w:r>
        <w:rPr/>
      </w:r>
    </w:p>
    <w:p>
      <w:pPr>
        <w:pStyle w:val="BodyText"/>
        <w:numPr>
          <w:ilvl w:val="0"/>
          <w:numId w:val="2"/>
        </w:numPr>
        <w:tabs>
          <w:tab w:val="clear" w:pos="720"/>
          <w:tab w:val="left" w:pos="0" w:leader="none"/>
          <w:tab w:val="left" w:pos="1080" w:leader="none"/>
        </w:tabs>
        <w:ind w:hanging="720" w:start="1800" w:end="0"/>
        <w:rPr/>
      </w:pPr>
      <w:r>
        <w:rPr/>
        <w:t>would adopting eService via e-mail be easier for recipients of documents than receiving paper copies? (problems?)</w:t>
      </w:r>
    </w:p>
    <w:p>
      <w:pPr>
        <w:pStyle w:val="BodyText"/>
        <w:numPr>
          <w:ilvl w:val="0"/>
          <w:numId w:val="2"/>
        </w:numPr>
        <w:tabs>
          <w:tab w:val="clear" w:pos="720"/>
          <w:tab w:val="left" w:pos="0" w:leader="none"/>
          <w:tab w:val="left" w:pos="1080" w:leader="none"/>
        </w:tabs>
        <w:ind w:hanging="720" w:start="1800" w:end="0"/>
        <w:rPr/>
      </w:pPr>
      <w:r>
        <w:rPr/>
        <w:t>would recipients want to receive an eService email as soon as FERC issues a document? (or is “batching” an option?)</w:t>
      </w:r>
    </w:p>
    <w:p>
      <w:pPr>
        <w:pStyle w:val="BodyText"/>
        <w:numPr>
          <w:ilvl w:val="0"/>
          <w:numId w:val="2"/>
        </w:numPr>
        <w:tabs>
          <w:tab w:val="clear" w:pos="720"/>
          <w:tab w:val="left" w:pos="0" w:leader="none"/>
          <w:tab w:val="left" w:pos="1080" w:leader="none"/>
        </w:tabs>
        <w:ind w:hanging="720" w:start="1800" w:end="0"/>
        <w:rPr/>
      </w:pPr>
      <w:r>
        <w:rPr/>
        <w:t>what format is preferable (PDF, TIF, ASCII, etc?) (consider size of document)</w:t>
      </w:r>
    </w:p>
    <w:p>
      <w:pPr>
        <w:pStyle w:val="BodyText"/>
        <w:numPr>
          <w:ilvl w:val="0"/>
          <w:numId w:val="2"/>
        </w:numPr>
        <w:tabs>
          <w:tab w:val="clear" w:pos="720"/>
          <w:tab w:val="left" w:pos="0" w:leader="none"/>
          <w:tab w:val="left" w:pos="1080" w:leader="none"/>
        </w:tabs>
        <w:ind w:hanging="720" w:start="1800" w:end="0"/>
        <w:rPr/>
      </w:pPr>
      <w:r>
        <w:rPr/>
        <w:t>under what circumstances is it feasible to use eService as a default method of service? (option for paper copy must be requested)</w:t>
      </w:r>
    </w:p>
    <w:p>
      <w:pPr>
        <w:pStyle w:val="BodyText"/>
        <w:numPr>
          <w:ilvl w:val="0"/>
          <w:numId w:val="2"/>
        </w:numPr>
        <w:tabs>
          <w:tab w:val="clear" w:pos="720"/>
          <w:tab w:val="left" w:pos="0" w:leader="none"/>
          <w:tab w:val="left" w:pos="360" w:leader="none"/>
        </w:tabs>
        <w:ind w:hanging="720" w:start="1080" w:end="0"/>
        <w:rPr/>
      </w:pPr>
      <w:r>
        <w:rPr/>
        <w:t>eDistribution</w:t>
      </w:r>
    </w:p>
    <w:p>
      <w:pPr>
        <w:pStyle w:val="BodyText"/>
        <w:numPr>
          <w:ilvl w:val="0"/>
          <w:numId w:val="0"/>
        </w:numPr>
        <w:ind w:hanging="0" w:start="0"/>
        <w:rPr/>
      </w:pPr>
      <w:r>
        <w:rPr/>
      </w:r>
    </w:p>
    <w:p>
      <w:pPr>
        <w:pStyle w:val="BodyText"/>
        <w:numPr>
          <w:ilvl w:val="0"/>
          <w:numId w:val="2"/>
        </w:numPr>
        <w:tabs>
          <w:tab w:val="clear" w:pos="720"/>
          <w:tab w:val="left" w:pos="0" w:leader="none"/>
          <w:tab w:val="left" w:pos="1080" w:leader="none"/>
        </w:tabs>
        <w:ind w:hanging="720" w:start="1800" w:end="0"/>
        <w:rPr/>
      </w:pPr>
      <w:r>
        <w:rPr/>
        <w:t>how is eDistribution a more desirable mechanism for distribution than retrieving copies of documents from CIPS or RIMS?</w:t>
      </w:r>
    </w:p>
    <w:p>
      <w:pPr>
        <w:pStyle w:val="BodyText"/>
        <w:numPr>
          <w:ilvl w:val="0"/>
          <w:numId w:val="2"/>
        </w:numPr>
        <w:tabs>
          <w:tab w:val="clear" w:pos="720"/>
          <w:tab w:val="left" w:pos="0" w:leader="none"/>
          <w:tab w:val="left" w:pos="1080" w:leader="none"/>
        </w:tabs>
        <w:ind w:hanging="720" w:start="1800" w:end="0"/>
        <w:rPr/>
      </w:pPr>
      <w:r>
        <w:rPr/>
        <w:t>Would eDistribution reduce the number of parties filing interventions simply to be informed of proceedings?</w:t>
      </w:r>
    </w:p>
    <w:p>
      <w:pPr>
        <w:pStyle w:val="BodyText"/>
        <w:numPr>
          <w:ilvl w:val="0"/>
          <w:numId w:val="2"/>
        </w:numPr>
        <w:tabs>
          <w:tab w:val="clear" w:pos="720"/>
          <w:tab w:val="left" w:pos="0" w:leader="none"/>
          <w:tab w:val="left" w:pos="1080" w:leader="none"/>
        </w:tabs>
        <w:ind w:hanging="720" w:start="1800" w:end="0"/>
        <w:rPr/>
      </w:pPr>
      <w:r>
        <w:rPr/>
        <w:t>What features would such a mechanism need to maximize its utility?</w:t>
      </w:r>
    </w:p>
    <w:p>
      <w:pPr>
        <w:pStyle w:val="BodyText"/>
        <w:numPr>
          <w:ilvl w:val="0"/>
          <w:numId w:val="2"/>
        </w:numPr>
        <w:tabs>
          <w:tab w:val="clear" w:pos="720"/>
          <w:tab w:val="left" w:pos="0" w:leader="none"/>
          <w:tab w:val="left" w:pos="1080" w:leader="none"/>
        </w:tabs>
        <w:ind w:hanging="720" w:start="1800" w:end="0"/>
        <w:rPr/>
      </w:pPr>
      <w:r>
        <w:rPr/>
        <w:t>Would it be beneficial if FERC were to e-mail the URLs/Internet-links of other documents besides FERC issuances through the eDistribution mechanism?</w:t>
      </w:r>
    </w:p>
    <w:p>
      <w:pPr>
        <w:pStyle w:val="BodyText"/>
        <w:numPr>
          <w:ilvl w:val="0"/>
          <w:numId w:val="2"/>
        </w:numPr>
        <w:tabs>
          <w:tab w:val="clear" w:pos="720"/>
          <w:tab w:val="left" w:pos="0" w:leader="none"/>
          <w:tab w:val="left" w:pos="1080" w:leader="none"/>
        </w:tabs>
        <w:ind w:hanging="720" w:start="1800" w:end="0"/>
        <w:rPr/>
      </w:pPr>
      <w:r>
        <w:rPr/>
        <w:t>What private enterprises are providing a service like eDistribution?</w:t>
      </w:r>
    </w:p>
    <w:p>
      <w:pPr>
        <w:pStyle w:val="BodyText"/>
        <w:numPr>
          <w:ilvl w:val="0"/>
          <w:numId w:val="2"/>
        </w:numPr>
        <w:tabs>
          <w:tab w:val="clear" w:pos="720"/>
          <w:tab w:val="left" w:pos="0" w:leader="none"/>
          <w:tab w:val="left" w:pos="1080" w:leader="none"/>
        </w:tabs>
        <w:ind w:hanging="720" w:start="1800" w:end="0"/>
        <w:rPr/>
      </w:pPr>
      <w:r>
        <w:rPr/>
        <w:t>FERC wants to institute eDistribution with a service fee. How does this affect usage?</w:t>
      </w:r>
    </w:p>
    <w:p>
      <w:pPr>
        <w:pStyle w:val="BodyText"/>
        <w:numPr>
          <w:ilvl w:val="0"/>
          <w:numId w:val="0"/>
        </w:numPr>
        <w:ind w:hanging="0" w:start="720" w:end="0"/>
        <w:rPr/>
      </w:pPr>
      <w:r>
        <w:rPr/>
      </w:r>
    </w:p>
    <w:p>
      <w:pPr>
        <w:pStyle w:val="BodyText"/>
        <w:numPr>
          <w:ilvl w:val="0"/>
          <w:numId w:val="2"/>
        </w:numPr>
        <w:tabs>
          <w:tab w:val="clear" w:pos="720"/>
          <w:tab w:val="left" w:pos="0" w:leader="none"/>
          <w:tab w:val="left" w:pos="360" w:leader="none"/>
        </w:tabs>
        <w:ind w:hanging="720" w:start="1080" w:end="0"/>
        <w:rPr/>
      </w:pPr>
      <w:r>
        <w:rPr/>
        <w:t>eService between parties</w:t>
      </w:r>
    </w:p>
    <w:p>
      <w:pPr>
        <w:pStyle w:val="BodyText"/>
        <w:numPr>
          <w:ilvl w:val="0"/>
          <w:numId w:val="2"/>
        </w:numPr>
        <w:tabs>
          <w:tab w:val="clear" w:pos="720"/>
          <w:tab w:val="left" w:pos="0" w:leader="none"/>
          <w:tab w:val="left" w:pos="1080" w:leader="none"/>
        </w:tabs>
        <w:ind w:hanging="720" w:start="1800" w:end="0"/>
        <w:rPr/>
      </w:pPr>
      <w:r>
        <w:rPr/>
        <w:t>What has been the experience of parties providing electronic service to one another?</w:t>
      </w:r>
    </w:p>
    <w:p>
      <w:pPr>
        <w:pStyle w:val="BodyText"/>
        <w:numPr>
          <w:ilvl w:val="0"/>
          <w:numId w:val="2"/>
        </w:numPr>
        <w:tabs>
          <w:tab w:val="clear" w:pos="720"/>
          <w:tab w:val="left" w:pos="0" w:leader="none"/>
          <w:tab w:val="left" w:pos="1080" w:leader="none"/>
        </w:tabs>
        <w:ind w:hanging="720" w:start="1800" w:end="0"/>
        <w:rPr/>
      </w:pPr>
      <w:r>
        <w:rPr/>
        <w:t>Is it easy for parties to identify others who are interested in electronic service?</w:t>
      </w:r>
    </w:p>
    <w:p>
      <w:pPr>
        <w:pStyle w:val="BodyText"/>
        <w:numPr>
          <w:ilvl w:val="0"/>
          <w:numId w:val="2"/>
        </w:numPr>
        <w:tabs>
          <w:tab w:val="clear" w:pos="720"/>
          <w:tab w:val="left" w:pos="0" w:leader="none"/>
          <w:tab w:val="left" w:pos="1080" w:leader="none"/>
        </w:tabs>
        <w:ind w:hanging="720" w:start="1800" w:end="0"/>
        <w:rPr/>
      </w:pPr>
      <w:r>
        <w:rPr/>
        <w:t>How can FERC encourage more widespread adoption of e-service between parties? (should FERC be a central repository for email addresses who wish to be served?)</w:t>
      </w:r>
    </w:p>
    <w:p>
      <w:pPr>
        <w:pStyle w:val="BodyText"/>
        <w:numPr>
          <w:ilvl w:val="0"/>
          <w:numId w:val="2"/>
        </w:numPr>
        <w:tabs>
          <w:tab w:val="clear" w:pos="720"/>
          <w:tab w:val="left" w:pos="0" w:leader="none"/>
          <w:tab w:val="left" w:pos="1080" w:leader="none"/>
        </w:tabs>
        <w:ind w:hanging="360" w:start="1800" w:end="0"/>
        <w:rPr/>
      </w:pPr>
      <w:r>
        <w:rPr/>
        <w:t>What improvements could be made t online service list?</w:t>
      </w:r>
    </w:p>
    <w:p>
      <w:pPr>
        <w:pStyle w:val="Normal"/>
        <w:rPr>
          <w:sz w:val="22"/>
          <w:szCs w:val="22"/>
        </w:rPr>
      </w:pPr>
      <w:r>
        <w:rPr>
          <w:sz w:val="22"/>
          <w:szCs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Scorman\scoping2.doc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MarketingAffiliate-JH.doc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2001-10-04T19:08:00Z</dcterms:created>
  <dc:creator>Jan Butler</dc:creator>
  <dc:description/>
  <dc:language>en-CA</dc:language>
  <cp:lastModifiedBy>jbutler</cp:lastModifiedBy>
  <cp:lastPrinted>2001-04-30T15:46:00Z</cp:lastPrinted>
  <dcterms:modified xsi:type="dcterms:W3CDTF">2001-10-04T19:13:00Z</dcterms:modified>
  <cp:revision>3</cp:revision>
  <dc:subject/>
  <dc:title>DRAFT</dc:title>
</cp:coreProperties>
</file>