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6946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694690"/>
                    </a:xfrm>
                    <a:prstGeom prst="rect">
                      <a:avLst/>
                    </a:prstGeom>
                    <a:noFill/>
                  </pic:spPr>
                </pic:pic>
              </a:graphicData>
            </a:graphic>
          </wp:inline>
        </w:drawing>
      </w:r>
    </w:p>
    <w:p>
      <w:pPr>
        <w:pStyle w:val="Normal"/>
        <w:rPr>
          <w:sz w:val="22"/>
          <w:szCs w:val="22"/>
        </w:rPr>
      </w:pPr>
      <w:r>
        <w:rPr>
          <w:sz w:val="22"/>
          <w:szCs w:val="22"/>
        </w:rPr>
      </w:r>
    </w:p>
    <w:p>
      <w:pPr>
        <w:pStyle w:val="Normal"/>
        <w:rPr>
          <w:sz w:val="22"/>
          <w:szCs w:val="22"/>
        </w:rPr>
      </w:pPr>
      <w:r>
        <w:rPr>
          <w:sz w:val="22"/>
          <w:szCs w:val="22"/>
        </w:rPr>
      </w:r>
    </w:p>
    <w:p>
      <w:pPr>
        <w:pStyle w:val="Normal"/>
        <w:jc w:val="center"/>
        <w:rPr>
          <w:b/>
          <w:bCs/>
          <w:sz w:val="32"/>
          <w:szCs w:val="32"/>
        </w:rPr>
      </w:pPr>
      <w:r>
        <w:rPr>
          <w:b/>
          <w:bCs/>
          <w:sz w:val="32"/>
          <w:szCs w:val="32"/>
        </w:rPr>
        <w:t>FEDERAL ENERGY REGULATORY COMMISSIION</w:t>
      </w:r>
    </w:p>
    <w:p>
      <w:pPr>
        <w:pStyle w:val="Normal"/>
        <w:jc w:val="center"/>
        <w:rPr>
          <w:b/>
          <w:bCs/>
          <w:sz w:val="32"/>
          <w:szCs w:val="32"/>
        </w:rPr>
      </w:pPr>
      <w:r>
        <w:rPr>
          <w:b/>
          <w:bCs/>
          <w:sz w:val="32"/>
          <w:szCs w:val="32"/>
        </w:rPr>
        <w:t>DELEGATIONS OF AUTHORITY</w:t>
      </w:r>
    </w:p>
    <w:p>
      <w:pPr>
        <w:pStyle w:val="Normal"/>
        <w:jc w:val="center"/>
        <w:rPr>
          <w:b/>
          <w:bCs/>
          <w:sz w:val="32"/>
          <w:szCs w:val="32"/>
        </w:rPr>
      </w:pPr>
      <w:r>
        <w:rPr>
          <w:b/>
          <w:bCs/>
          <w:sz w:val="32"/>
          <w:szCs w:val="32"/>
        </w:rPr>
        <w:t>Final Rule</w:t>
      </w:r>
    </w:p>
    <w:p>
      <w:pPr>
        <w:pStyle w:val="Normal"/>
        <w:jc w:val="center"/>
        <w:rPr>
          <w:b/>
          <w:bCs/>
          <w:sz w:val="32"/>
          <w:szCs w:val="32"/>
        </w:rPr>
      </w:pPr>
      <w:r>
        <w:rPr>
          <w:b/>
          <w:bCs/>
          <w:sz w:val="32"/>
          <w:szCs w:val="32"/>
        </w:rPr>
        <w:t>Order No. 613</w:t>
      </w:r>
    </w:p>
    <w:p>
      <w:pPr>
        <w:pStyle w:val="Normal"/>
        <w:jc w:val="center"/>
        <w:rPr>
          <w:b/>
          <w:bCs/>
          <w:sz w:val="32"/>
          <w:szCs w:val="32"/>
        </w:rPr>
      </w:pPr>
      <w:r>
        <w:rPr>
          <w:b/>
          <w:bCs/>
          <w:sz w:val="32"/>
          <w:szCs w:val="32"/>
        </w:rPr>
        <w:t>Docket No. RM00-4</w:t>
      </w:r>
    </w:p>
    <w:p>
      <w:pPr>
        <w:pStyle w:val="Normal"/>
        <w:jc w:val="center"/>
        <w:rPr>
          <w:b/>
          <w:bCs/>
          <w:sz w:val="32"/>
          <w:szCs w:val="32"/>
        </w:rPr>
      </w:pPr>
      <w:r>
        <w:rPr>
          <w:b/>
          <w:bCs/>
          <w:sz w:val="32"/>
          <w:szCs w:val="32"/>
        </w:rPr>
      </w:r>
    </w:p>
    <w:p>
      <w:pPr>
        <w:pStyle w:val="Normal"/>
        <w:jc w:val="center"/>
        <w:rPr>
          <w:b/>
          <w:bCs/>
          <w:sz w:val="28"/>
          <w:szCs w:val="28"/>
        </w:rPr>
      </w:pPr>
      <w:r>
        <w:rPr>
          <w:b/>
          <w:bCs/>
          <w:sz w:val="28"/>
          <w:szCs w:val="28"/>
        </w:rPr>
        <w:t>I.</w:t>
      </w:r>
    </w:p>
    <w:p>
      <w:pPr>
        <w:pStyle w:val="Normal"/>
        <w:jc w:val="center"/>
        <w:rPr>
          <w:b/>
          <w:bCs/>
          <w:sz w:val="28"/>
          <w:szCs w:val="28"/>
          <w:u w:val="single"/>
        </w:rPr>
      </w:pPr>
      <w:r>
        <w:rPr>
          <w:b/>
          <w:bCs/>
          <w:sz w:val="28"/>
          <w:szCs w:val="28"/>
          <w:u w:val="single"/>
        </w:rPr>
        <w:t>Executive Summary</w:t>
      </w:r>
    </w:p>
    <w:p>
      <w:pPr>
        <w:pStyle w:val="Normal"/>
        <w:jc w:val="center"/>
        <w:rPr>
          <w:b/>
          <w:bCs/>
          <w:sz w:val="32"/>
          <w:szCs w:val="32"/>
          <w:u w:val="single"/>
        </w:rPr>
      </w:pPr>
      <w:r>
        <w:rPr>
          <w:b/>
          <w:bCs/>
          <w:sz w:val="32"/>
          <w:szCs w:val="32"/>
          <w:u w:val="single"/>
        </w:rPr>
      </w:r>
    </w:p>
    <w:p>
      <w:pPr>
        <w:pStyle w:val="Normal"/>
        <w:rPr>
          <w:sz w:val="28"/>
          <w:szCs w:val="28"/>
        </w:rPr>
      </w:pPr>
      <w:r>
        <w:rPr>
          <w:sz w:val="28"/>
          <w:szCs w:val="28"/>
        </w:rPr>
        <w:t>On December 21, 1999, the Federal Energy Regulatory Commission issued a final rule amending 18 CFR Parts 375 and 376.  The final rule revises the delegations to certain Commission officials and to make related changes in connection with the changes promulgated by the FERC First Initiative in the Commission's internal structure.  As a result, positions that formerly were delegated authority by FERC no longer exist.  This rulemaking reassigns those authorities to the new offices.  The final rule is effective January 31, 2000.</w:t>
      </w:r>
    </w:p>
    <w:p>
      <w:pPr>
        <w:pStyle w:val="Normal"/>
        <w:rPr>
          <w:sz w:val="28"/>
          <w:szCs w:val="28"/>
        </w:rPr>
      </w:pPr>
      <w:r>
        <w:rPr>
          <w:sz w:val="28"/>
          <w:szCs w:val="28"/>
        </w:rPr>
      </w:r>
    </w:p>
    <w:p>
      <w:pPr>
        <w:pStyle w:val="Normal"/>
        <w:rPr>
          <w:sz w:val="28"/>
          <w:szCs w:val="28"/>
        </w:rPr>
      </w:pPr>
      <w:r>
        <w:rPr>
          <w:sz w:val="28"/>
          <w:szCs w:val="28"/>
        </w:rPr>
        <w:t xml:space="preserve">This rule is significant in that it defines the respective roles of the new Office of Markets, Tariffs and Rates (OMTR) and the new Office of Energy Projects (OEP). </w:t>
      </w:r>
      <w:r>
        <w:br w:type="page"/>
      </w:r>
    </w:p>
    <w:p>
      <w:pPr>
        <w:pStyle w:val="Normal"/>
        <w:jc w:val="center"/>
        <w:rPr>
          <w:b/>
          <w:bCs/>
          <w:sz w:val="28"/>
          <w:szCs w:val="28"/>
        </w:rPr>
      </w:pPr>
      <w:r>
        <w:rPr>
          <w:b/>
          <w:bCs/>
          <w:sz w:val="28"/>
          <w:szCs w:val="28"/>
        </w:rPr>
        <w:t>II.</w:t>
      </w:r>
    </w:p>
    <w:p>
      <w:pPr>
        <w:pStyle w:val="Normal"/>
        <w:jc w:val="center"/>
        <w:rPr>
          <w:b/>
          <w:bCs/>
          <w:sz w:val="28"/>
          <w:szCs w:val="28"/>
        </w:rPr>
      </w:pPr>
      <w:r>
        <w:rPr>
          <w:b/>
          <w:bCs/>
          <w:sz w:val="28"/>
          <w:szCs w:val="28"/>
        </w:rPr>
        <w:t>Part 375</w:t>
      </w:r>
    </w:p>
    <w:p>
      <w:pPr>
        <w:pStyle w:val="Normal"/>
        <w:jc w:val="center"/>
        <w:rPr>
          <w:b/>
          <w:bCs/>
          <w:sz w:val="28"/>
          <w:szCs w:val="28"/>
        </w:rPr>
      </w:pPr>
      <w:r>
        <w:rPr>
          <w:b/>
          <w:bCs/>
          <w:sz w:val="28"/>
          <w:szCs w:val="28"/>
        </w:rPr>
      </w:r>
    </w:p>
    <w:tbl>
      <w:tblPr>
        <w:tblW w:w="8676" w:type="dxa"/>
        <w:jc w:val="start"/>
        <w:tblInd w:w="0" w:type="dxa"/>
        <w:tblLayout w:type="fixed"/>
        <w:tblCellMar>
          <w:top w:w="0" w:type="dxa"/>
          <w:start w:w="108" w:type="dxa"/>
          <w:bottom w:w="0" w:type="dxa"/>
          <w:end w:w="108" w:type="dxa"/>
        </w:tblCellMar>
      </w:tblPr>
      <w:tblGrid>
        <w:gridCol w:w="1818"/>
        <w:gridCol w:w="2880"/>
        <w:gridCol w:w="3978"/>
      </w:tblGrid>
      <w:tr>
        <w:trPr/>
        <w:tc>
          <w:tcPr>
            <w:tcW w:w="1818"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2"/>
                <w:szCs w:val="22"/>
              </w:rPr>
            </w:pPr>
            <w:r>
              <w:rPr>
                <w:b/>
                <w:bCs/>
                <w:i/>
                <w:iCs/>
                <w:sz w:val="22"/>
                <w:szCs w:val="22"/>
              </w:rPr>
              <w:t>Section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2"/>
                <w:szCs w:val="22"/>
              </w:rPr>
            </w:pPr>
            <w:r>
              <w:rPr>
                <w:b/>
                <w:bCs/>
                <w:i/>
                <w:iCs/>
                <w:sz w:val="22"/>
                <w:szCs w:val="22"/>
              </w:rPr>
              <w:t>Delegations</w:t>
            </w:r>
          </w:p>
        </w:tc>
        <w:tc>
          <w:tcPr>
            <w:tcW w:w="3978"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2"/>
                <w:szCs w:val="22"/>
              </w:rPr>
            </w:pPr>
            <w:r>
              <w:rPr>
                <w:b/>
                <w:bCs/>
                <w:i/>
                <w:iCs/>
                <w:sz w:val="22"/>
                <w:szCs w:val="22"/>
              </w:rPr>
              <w:t>Revisions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i/>
                <w:i/>
                <w:iCs/>
                <w:sz w:val="22"/>
                <w:szCs w:val="22"/>
              </w:rPr>
            </w:pPr>
            <w:r>
              <w:rPr>
                <w:b/>
                <w:bCs/>
                <w:i/>
                <w:iCs/>
                <w:sz w:val="22"/>
                <w:szCs w:val="22"/>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i/>
                <w:i/>
                <w:iCs/>
                <w:sz w:val="22"/>
                <w:szCs w:val="22"/>
              </w:rPr>
            </w:pPr>
            <w:r>
              <w:rPr>
                <w:b/>
                <w:bCs/>
                <w:i/>
                <w:iCs/>
                <w:sz w:val="22"/>
                <w:szCs w:val="22"/>
              </w:rPr>
            </w:r>
          </w:p>
        </w:tc>
        <w:tc>
          <w:tcPr>
            <w:tcW w:w="39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i/>
                <w:i/>
                <w:iCs/>
                <w:sz w:val="22"/>
                <w:szCs w:val="22"/>
              </w:rPr>
            </w:pPr>
            <w:r>
              <w:rPr>
                <w:b/>
                <w:bCs/>
                <w:i/>
                <w:iCs/>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§375.303</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Office of Chief Accountant</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Moved to Office FAO reporting to Director, OFAO</w:t>
            </w:r>
          </w:p>
          <w:p>
            <w:pPr>
              <w:pStyle w:val="Normal"/>
              <w:rPr>
                <w:sz w:val="22"/>
                <w:szCs w:val="22"/>
              </w:rPr>
            </w:pPr>
            <w:r>
              <w:rPr>
                <w:sz w:val="22"/>
                <w:szCs w:val="22"/>
              </w:rPr>
            </w:r>
          </w:p>
          <w:p>
            <w:pPr>
              <w:pStyle w:val="Normal"/>
              <w:rPr>
                <w:sz w:val="22"/>
                <w:szCs w:val="22"/>
              </w:rPr>
            </w:pPr>
            <w:r>
              <w:rPr>
                <w:sz w:val="22"/>
                <w:szCs w:val="22"/>
              </w:rPr>
              <w:t>Revisions:</w:t>
            </w:r>
          </w:p>
          <w:p>
            <w:pPr>
              <w:pStyle w:val="Normal"/>
              <w:numPr>
                <w:ilvl w:val="0"/>
                <w:numId w:val="1"/>
              </w:numPr>
              <w:tabs>
                <w:tab w:val="clear" w:pos="720"/>
                <w:tab w:val="left" w:pos="0" w:leader="none"/>
              </w:tabs>
              <w:ind w:hanging="702" w:start="702" w:end="0"/>
              <w:rPr>
                <w:sz w:val="22"/>
                <w:szCs w:val="22"/>
              </w:rPr>
            </w:pPr>
            <w:r>
              <w:rPr>
                <w:sz w:val="22"/>
                <w:szCs w:val="22"/>
              </w:rPr>
              <w:t xml:space="preserve">Authorizes Chief Accountant or designee to issue interpretations of the Uniform System of Accounts </w:t>
            </w:r>
          </w:p>
          <w:p>
            <w:pPr>
              <w:pStyle w:val="Normal"/>
              <w:numPr>
                <w:ilvl w:val="0"/>
                <w:numId w:val="1"/>
              </w:numPr>
              <w:tabs>
                <w:tab w:val="clear" w:pos="720"/>
                <w:tab w:val="left" w:pos="0" w:leader="none"/>
              </w:tabs>
              <w:ind w:hanging="702" w:start="702" w:end="0"/>
              <w:rPr>
                <w:sz w:val="22"/>
                <w:szCs w:val="22"/>
              </w:rPr>
            </w:pPr>
            <w:r>
              <w:rPr>
                <w:sz w:val="22"/>
                <w:szCs w:val="22"/>
              </w:rPr>
              <w:t xml:space="preserve">Pass upon any proposed accounting matters submitted by public utilities, gas and oil companies that require FERC approval.  </w:t>
            </w:r>
          </w:p>
          <w:p>
            <w:pPr>
              <w:pStyle w:val="Normal"/>
              <w:numPr>
                <w:ilvl w:val="0"/>
                <w:numId w:val="1"/>
              </w:numPr>
              <w:tabs>
                <w:tab w:val="clear" w:pos="720"/>
                <w:tab w:val="left" w:pos="0" w:leader="none"/>
              </w:tabs>
              <w:ind w:hanging="702" w:start="702" w:end="0"/>
              <w:rPr>
                <w:sz w:val="22"/>
                <w:szCs w:val="22"/>
              </w:rPr>
            </w:pPr>
            <w:r>
              <w:rPr>
                <w:sz w:val="22"/>
                <w:szCs w:val="22"/>
              </w:rPr>
              <w:t>Unusually large transactions must be presented to the Commission for consideration</w:t>
            </w:r>
          </w:p>
          <w:p>
            <w:pPr>
              <w:pStyle w:val="Normal"/>
              <w:numPr>
                <w:ilvl w:val="0"/>
                <w:numId w:val="1"/>
              </w:numPr>
              <w:tabs>
                <w:tab w:val="clear" w:pos="720"/>
                <w:tab w:val="left" w:pos="0" w:leader="none"/>
              </w:tabs>
              <w:ind w:hanging="720" w:start="720" w:end="0"/>
              <w:rPr>
                <w:sz w:val="22"/>
                <w:szCs w:val="22"/>
              </w:rPr>
            </w:pPr>
            <w:r>
              <w:rPr>
                <w:sz w:val="22"/>
                <w:szCs w:val="22"/>
              </w:rPr>
              <w:t>Pass upon applications to increase size or combine property units</w:t>
            </w:r>
          </w:p>
          <w:p>
            <w:pPr>
              <w:pStyle w:val="Normal"/>
              <w:numPr>
                <w:ilvl w:val="0"/>
                <w:numId w:val="0"/>
              </w:numPr>
              <w:ind w:hanging="0" w:start="0"/>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sz w:val="22"/>
                <w:szCs w:val="22"/>
              </w:rPr>
            </w:pPr>
            <w:r>
              <w:rPr>
                <w:sz w:val="24"/>
                <w:szCs w:val="24"/>
              </w:rPr>
              <w:t>§375.303 (d)(1)</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Sign correspondence related to Forms 1, 2, &amp; 6</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Authority transferred to OMTR</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§375.303 (e)</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Pass on uncontested applications to issue securities (electric)</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Authority transferred to OMTR</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§375.303(g)</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Act on waiver of filing fees</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Deleted</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Old §375.307</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Office of Pipeline Regulation</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Delegations being divided between directors of OMTR (services only) and OEP (facilities and certain services)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New §375.307</w:t>
            </w:r>
          </w:p>
        </w:tc>
        <w:tc>
          <w:tcPr>
            <w:tcW w:w="2880" w:type="dxa"/>
            <w:tcBorders>
              <w:top w:val="single" w:sz="6" w:space="0" w:color="000000"/>
              <w:start w:val="single" w:sz="6" w:space="0" w:color="000000"/>
              <w:bottom w:val="single" w:sz="6" w:space="0" w:color="000000"/>
              <w:end w:val="single" w:sz="6" w:space="0" w:color="000000"/>
            </w:tcBorders>
          </w:tcPr>
          <w:p>
            <w:pPr>
              <w:pStyle w:val="Normal"/>
              <w:rPr>
                <w:b/>
                <w:bCs/>
                <w:sz w:val="22"/>
                <w:szCs w:val="22"/>
              </w:rPr>
            </w:pPr>
            <w:r>
              <w:rPr>
                <w:b/>
                <w:bCs/>
                <w:sz w:val="22"/>
                <w:szCs w:val="22"/>
              </w:rPr>
              <w:t>Office of Markets Tariffs and Rates (OMTR)</w:t>
            </w:r>
          </w:p>
        </w:tc>
        <w:tc>
          <w:tcPr>
            <w:tcW w:w="39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snapToGrid w:val="false"/>
              <w:ind w:hanging="702" w:start="702" w:end="0"/>
              <w:rPr>
                <w:b/>
                <w:bCs/>
                <w:sz w:val="22"/>
                <w:szCs w:val="22"/>
              </w:rPr>
            </w:pPr>
            <w:r>
              <w:rPr>
                <w:b/>
                <w:bCs/>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snapToGrid w:val="false"/>
              <w:ind w:hanging="360" w:start="360"/>
              <w:rPr>
                <w:sz w:val="22"/>
                <w:szCs w:val="22"/>
              </w:rPr>
            </w:pPr>
            <w:r>
              <w:rPr>
                <w:sz w:val="22"/>
                <w:szCs w:val="22"/>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39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02" w:start="702" w:end="0"/>
              <w:rPr>
                <w:sz w:val="22"/>
                <w:szCs w:val="22"/>
              </w:rPr>
            </w:pPr>
            <w:r>
              <w:rPr>
                <w:sz w:val="22"/>
                <w:szCs w:val="22"/>
              </w:rPr>
              <w:t>Authorizes Director (or designee) to sign all correspondence with state regulatory commissions and agencies for non-financial auditing matters</w:t>
            </w:r>
          </w:p>
          <w:p>
            <w:pPr>
              <w:pStyle w:val="Normal"/>
              <w:numPr>
                <w:ilvl w:val="0"/>
                <w:numId w:val="1"/>
              </w:numPr>
              <w:tabs>
                <w:tab w:val="clear" w:pos="720"/>
                <w:tab w:val="left" w:pos="0" w:leader="none"/>
              </w:tabs>
              <w:ind w:hanging="720" w:start="720" w:end="0"/>
              <w:rPr>
                <w:sz w:val="22"/>
                <w:szCs w:val="22"/>
              </w:rPr>
            </w:pPr>
            <w:r>
              <w:rPr>
                <w:sz w:val="22"/>
                <w:szCs w:val="22"/>
              </w:rPr>
              <w:t>Act on any uncontested application for authorization to issue securities or assume obligations/liabilities</w:t>
            </w:r>
          </w:p>
          <w:p>
            <w:pPr>
              <w:pStyle w:val="Normal"/>
              <w:numPr>
                <w:ilvl w:val="0"/>
                <w:numId w:val="1"/>
              </w:numPr>
              <w:tabs>
                <w:tab w:val="clear" w:pos="720"/>
                <w:tab w:val="left" w:pos="0" w:leader="none"/>
              </w:tabs>
              <w:ind w:hanging="702" w:start="702" w:end="0"/>
              <w:rPr>
                <w:sz w:val="22"/>
                <w:szCs w:val="22"/>
              </w:rPr>
            </w:pPr>
            <w:r>
              <w:rPr>
                <w:sz w:val="22"/>
                <w:szCs w:val="22"/>
              </w:rPr>
              <w:t>Sign non-financial audit reports</w:t>
            </w:r>
          </w:p>
          <w:p>
            <w:pPr>
              <w:pStyle w:val="Normal"/>
              <w:numPr>
                <w:ilvl w:val="0"/>
                <w:numId w:val="1"/>
              </w:numPr>
              <w:tabs>
                <w:tab w:val="clear" w:pos="720"/>
                <w:tab w:val="left" w:pos="0" w:leader="none"/>
              </w:tabs>
              <w:ind w:hanging="720" w:start="720" w:end="0"/>
              <w:rPr>
                <w:sz w:val="22"/>
                <w:szCs w:val="22"/>
              </w:rPr>
            </w:pPr>
            <w:r>
              <w:rPr>
                <w:sz w:val="22"/>
                <w:szCs w:val="22"/>
              </w:rPr>
              <w:t>Act on requests by state and federal agencies to review staff audit working papers if company agrees to this release</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snapToGrid w:val="false"/>
              <w:ind w:hanging="360" w:start="360"/>
              <w:rPr>
                <w:sz w:val="24"/>
                <w:szCs w:val="24"/>
              </w:rPr>
            </w:pPr>
            <w:r>
              <w:rPr>
                <w:sz w:val="24"/>
                <w:szCs w:val="24"/>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39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02" w:start="702" w:end="0"/>
              <w:rPr>
                <w:sz w:val="22"/>
                <w:szCs w:val="22"/>
              </w:rPr>
            </w:pPr>
            <w:r>
              <w:rPr>
                <w:sz w:val="22"/>
                <w:szCs w:val="22"/>
              </w:rPr>
              <w:t>Take appropriate action on following uncontested applications and impose conditions:</w:t>
            </w:r>
          </w:p>
          <w:p>
            <w:pPr>
              <w:pStyle w:val="Normal"/>
              <w:numPr>
                <w:ilvl w:val="0"/>
                <w:numId w:val="1"/>
              </w:numPr>
              <w:tabs>
                <w:tab w:val="clear" w:pos="720"/>
                <w:tab w:val="left" w:pos="0" w:leader="none"/>
              </w:tabs>
              <w:ind w:hanging="720" w:start="1062" w:end="0"/>
              <w:rPr>
                <w:sz w:val="22"/>
                <w:szCs w:val="22"/>
              </w:rPr>
            </w:pPr>
            <w:r>
              <w:rPr>
                <w:sz w:val="22"/>
                <w:szCs w:val="22"/>
              </w:rPr>
              <w:t>Applications for deletion of delivery points (not facilities)</w:t>
            </w:r>
          </w:p>
          <w:p>
            <w:pPr>
              <w:pStyle w:val="Normal"/>
              <w:numPr>
                <w:ilvl w:val="0"/>
                <w:numId w:val="1"/>
              </w:numPr>
              <w:tabs>
                <w:tab w:val="clear" w:pos="720"/>
                <w:tab w:val="left" w:pos="0" w:leader="none"/>
              </w:tabs>
              <w:ind w:hanging="720" w:start="1062" w:end="0"/>
              <w:rPr>
                <w:sz w:val="22"/>
                <w:szCs w:val="22"/>
              </w:rPr>
            </w:pPr>
            <w:r>
              <w:rPr>
                <w:sz w:val="22"/>
                <w:szCs w:val="22"/>
              </w:rPr>
              <w:t>Applications to abandon services (not facilities) involving specific customer</w:t>
            </w:r>
          </w:p>
          <w:p>
            <w:pPr>
              <w:pStyle w:val="Normal"/>
              <w:numPr>
                <w:ilvl w:val="0"/>
                <w:numId w:val="1"/>
              </w:numPr>
              <w:tabs>
                <w:tab w:val="clear" w:pos="720"/>
                <w:tab w:val="left" w:pos="0" w:leader="none"/>
              </w:tabs>
              <w:ind w:hanging="720" w:start="1062" w:end="0"/>
              <w:rPr/>
            </w:pPr>
            <w:r>
              <w:rPr>
                <w:sz w:val="22"/>
                <w:szCs w:val="22"/>
              </w:rPr>
              <w:t xml:space="preserve">Applications for temporary or permanent certificates </w:t>
            </w:r>
            <w:r>
              <w:rPr>
                <w:sz w:val="22"/>
                <w:szCs w:val="22"/>
                <w:u w:val="single"/>
              </w:rPr>
              <w:t>for services</w:t>
            </w:r>
            <w:r>
              <w:rPr>
                <w:sz w:val="22"/>
                <w:szCs w:val="22"/>
              </w:rPr>
              <w:t xml:space="preserve"> (not facilities) in connection with transportation, exchange or storage</w:t>
            </w:r>
          </w:p>
          <w:p>
            <w:pPr>
              <w:pStyle w:val="Normal"/>
              <w:numPr>
                <w:ilvl w:val="0"/>
                <w:numId w:val="1"/>
              </w:numPr>
              <w:tabs>
                <w:tab w:val="clear" w:pos="720"/>
                <w:tab w:val="left" w:pos="0" w:leader="none"/>
              </w:tabs>
              <w:ind w:hanging="720" w:start="1062" w:end="0"/>
              <w:rPr>
                <w:sz w:val="22"/>
                <w:szCs w:val="22"/>
              </w:rPr>
            </w:pPr>
            <w:r>
              <w:rPr>
                <w:sz w:val="22"/>
                <w:szCs w:val="22"/>
              </w:rPr>
              <w:t>Blanket (Subpart G) certificate</w:t>
            </w:r>
          </w:p>
          <w:p>
            <w:pPr>
              <w:pStyle w:val="Normal"/>
              <w:numPr>
                <w:ilvl w:val="0"/>
                <w:numId w:val="1"/>
              </w:numPr>
              <w:tabs>
                <w:tab w:val="clear" w:pos="720"/>
                <w:tab w:val="left" w:pos="0" w:leader="none"/>
              </w:tabs>
              <w:ind w:hanging="720" w:start="1062" w:end="0"/>
              <w:rPr>
                <w:sz w:val="22"/>
                <w:szCs w:val="22"/>
              </w:rPr>
            </w:pPr>
            <w:r>
              <w:rPr>
                <w:sz w:val="22"/>
                <w:szCs w:val="22"/>
              </w:rPr>
              <w:t>applications filed according to §§ 284.221 and 284.224</w:t>
            </w:r>
          </w:p>
          <w:p>
            <w:pPr>
              <w:pStyle w:val="Normal"/>
              <w:numPr>
                <w:ilvl w:val="0"/>
                <w:numId w:val="1"/>
              </w:numPr>
              <w:tabs>
                <w:tab w:val="clear" w:pos="720"/>
                <w:tab w:val="left" w:pos="0" w:leader="none"/>
              </w:tabs>
              <w:ind w:hanging="720" w:start="1062" w:end="0"/>
              <w:rPr>
                <w:sz w:val="22"/>
                <w:szCs w:val="22"/>
              </w:rPr>
            </w:pPr>
            <w:r>
              <w:rPr>
                <w:sz w:val="22"/>
                <w:szCs w:val="22"/>
              </w:rPr>
              <w:t>Applications for temporary certificates involving transportation service/sales</w:t>
            </w:r>
          </w:p>
          <w:p>
            <w:pPr>
              <w:pStyle w:val="Normal"/>
              <w:numPr>
                <w:ilvl w:val="0"/>
                <w:numId w:val="1"/>
              </w:numPr>
              <w:tabs>
                <w:tab w:val="clear" w:pos="720"/>
                <w:tab w:val="left" w:pos="0" w:leader="none"/>
              </w:tabs>
              <w:ind w:hanging="720" w:start="1062" w:end="0"/>
              <w:rPr>
                <w:sz w:val="22"/>
                <w:szCs w:val="22"/>
              </w:rPr>
            </w:pPr>
            <w:r>
              <w:rPr>
                <w:sz w:val="22"/>
                <w:szCs w:val="22"/>
              </w:rPr>
              <w:t>Dismiss any protest to prior notice filings involving existing service made pursuant to § 157.205 that does not raise substantive issues</w:t>
            </w:r>
          </w:p>
          <w:p>
            <w:pPr>
              <w:pStyle w:val="Normal"/>
              <w:numPr>
                <w:ilvl w:val="0"/>
                <w:numId w:val="1"/>
              </w:numPr>
              <w:tabs>
                <w:tab w:val="clear" w:pos="720"/>
                <w:tab w:val="left" w:pos="0" w:leader="none"/>
              </w:tabs>
              <w:ind w:hanging="720" w:start="1062" w:end="0"/>
              <w:rPr>
                <w:sz w:val="22"/>
                <w:szCs w:val="22"/>
              </w:rPr>
            </w:pPr>
            <w:r>
              <w:rPr>
                <w:sz w:val="22"/>
                <w:szCs w:val="22"/>
              </w:rPr>
              <w:t>Applications pertaining to approval of changes in customer names where no change in rate schedule, rate or other incident of service</w:t>
            </w:r>
          </w:p>
          <w:p>
            <w:pPr>
              <w:pStyle w:val="Normal"/>
              <w:numPr>
                <w:ilvl w:val="0"/>
                <w:numId w:val="1"/>
              </w:numPr>
              <w:tabs>
                <w:tab w:val="clear" w:pos="720"/>
                <w:tab w:val="left" w:pos="0" w:leader="none"/>
              </w:tabs>
              <w:ind w:hanging="720" w:start="1062" w:end="0"/>
              <w:rPr>
                <w:sz w:val="22"/>
                <w:szCs w:val="22"/>
              </w:rPr>
            </w:pPr>
            <w:r>
              <w:rPr>
                <w:sz w:val="22"/>
                <w:szCs w:val="22"/>
              </w:rPr>
              <w:t>Applications for approval of customer rate schedule shifts</w:t>
            </w:r>
          </w:p>
          <w:p>
            <w:pPr>
              <w:pStyle w:val="Normal"/>
              <w:numPr>
                <w:ilvl w:val="0"/>
                <w:numId w:val="1"/>
              </w:numPr>
              <w:tabs>
                <w:tab w:val="clear" w:pos="720"/>
                <w:tab w:val="left" w:pos="0" w:leader="none"/>
              </w:tabs>
              <w:ind w:hanging="720" w:start="1062" w:end="0"/>
              <w:rPr>
                <w:sz w:val="22"/>
                <w:szCs w:val="22"/>
              </w:rPr>
            </w:pPr>
            <w:r>
              <w:rPr>
                <w:sz w:val="22"/>
                <w:szCs w:val="22"/>
              </w:rPr>
              <w:t xml:space="preserve">Application filed under section 1c of NGA and Part 152 for declaration of exemption. </w:t>
            </w:r>
          </w:p>
          <w:p>
            <w:pPr>
              <w:pStyle w:val="Normal"/>
              <w:numPr>
                <w:ilvl w:val="0"/>
                <w:numId w:val="1"/>
              </w:numPr>
              <w:tabs>
                <w:tab w:val="clear" w:pos="720"/>
                <w:tab w:val="left" w:pos="0" w:leader="none"/>
              </w:tabs>
              <w:ind w:hanging="720" w:start="720" w:end="0"/>
              <w:rPr>
                <w:sz w:val="22"/>
                <w:szCs w:val="22"/>
              </w:rPr>
            </w:pPr>
            <w:r>
              <w:rPr>
                <w:sz w:val="22"/>
                <w:szCs w:val="22"/>
              </w:rPr>
              <w:t>Applications and amendments requesting authorizations filed pursuant to section 7(c) for new or additional service to right-of-way grantors either directly or through a distributor</w:t>
            </w:r>
          </w:p>
          <w:p>
            <w:pPr>
              <w:pStyle w:val="Normal"/>
              <w:numPr>
                <w:ilvl w:val="0"/>
                <w:numId w:val="1"/>
              </w:numPr>
              <w:tabs>
                <w:tab w:val="clear" w:pos="720"/>
                <w:tab w:val="left" w:pos="0" w:leader="none"/>
              </w:tabs>
              <w:ind w:hanging="702" w:start="702" w:end="0"/>
              <w:rPr>
                <w:sz w:val="22"/>
                <w:szCs w:val="22"/>
              </w:rPr>
            </w:pPr>
            <w:r>
              <w:rPr>
                <w:sz w:val="22"/>
                <w:szCs w:val="22"/>
              </w:rPr>
              <w:t>Accept a tariff or rate schedule filing, except a major pipeline rate increase under section 4(e)</w:t>
            </w:r>
          </w:p>
          <w:p>
            <w:pPr>
              <w:pStyle w:val="Normal"/>
              <w:numPr>
                <w:ilvl w:val="0"/>
                <w:numId w:val="1"/>
              </w:numPr>
              <w:tabs>
                <w:tab w:val="clear" w:pos="720"/>
                <w:tab w:val="left" w:pos="0" w:leader="none"/>
              </w:tabs>
              <w:ind w:hanging="702" w:start="702" w:end="0"/>
              <w:rPr>
                <w:sz w:val="22"/>
                <w:szCs w:val="22"/>
              </w:rPr>
            </w:pPr>
            <w:r>
              <w:rPr>
                <w:sz w:val="22"/>
                <w:szCs w:val="22"/>
              </w:rPr>
              <w:t>Reject a tariff or rate schedule filing if fails to comply with statutory requirements and all applicable FERC rules</w:t>
            </w:r>
          </w:p>
          <w:p>
            <w:pPr>
              <w:pStyle w:val="Normal"/>
              <w:numPr>
                <w:ilvl w:val="0"/>
                <w:numId w:val="0"/>
              </w:numPr>
              <w:ind w:hanging="0" w:start="0"/>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snapToGrid w:val="false"/>
              <w:ind w:hanging="360" w:start="360"/>
              <w:rPr>
                <w:sz w:val="24"/>
                <w:szCs w:val="24"/>
              </w:rPr>
            </w:pPr>
            <w:r>
              <w:rPr>
                <w:sz w:val="24"/>
                <w:szCs w:val="24"/>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39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02" w:start="702" w:end="0"/>
              <w:rPr>
                <w:sz w:val="22"/>
                <w:szCs w:val="22"/>
              </w:rPr>
            </w:pPr>
            <w:r>
              <w:rPr>
                <w:sz w:val="22"/>
                <w:szCs w:val="22"/>
              </w:rPr>
              <w:t>Action on:</w:t>
            </w:r>
          </w:p>
          <w:p>
            <w:pPr>
              <w:pStyle w:val="Normal"/>
              <w:numPr>
                <w:ilvl w:val="0"/>
                <w:numId w:val="1"/>
              </w:numPr>
              <w:tabs>
                <w:tab w:val="clear" w:pos="720"/>
                <w:tab w:val="left" w:pos="0" w:leader="none"/>
              </w:tabs>
              <w:ind w:hanging="720" w:start="1062" w:end="0"/>
              <w:rPr>
                <w:sz w:val="22"/>
                <w:szCs w:val="22"/>
              </w:rPr>
            </w:pPr>
            <w:r>
              <w:rPr>
                <w:sz w:val="22"/>
                <w:szCs w:val="22"/>
              </w:rPr>
              <w:t>interventions filed in uncontested applications</w:t>
            </w:r>
          </w:p>
          <w:p>
            <w:pPr>
              <w:pStyle w:val="Normal"/>
              <w:numPr>
                <w:ilvl w:val="0"/>
                <w:numId w:val="1"/>
              </w:numPr>
              <w:tabs>
                <w:tab w:val="clear" w:pos="720"/>
                <w:tab w:val="left" w:pos="0" w:leader="none"/>
              </w:tabs>
              <w:ind w:hanging="720" w:start="1062" w:end="0"/>
              <w:rPr>
                <w:sz w:val="22"/>
                <w:szCs w:val="22"/>
              </w:rPr>
            </w:pPr>
            <w:r>
              <w:rPr>
                <w:sz w:val="22"/>
                <w:szCs w:val="22"/>
              </w:rPr>
              <w:t>uncontested requests from one holding an authorization to vacate all or part of such authorization</w:t>
            </w:r>
          </w:p>
          <w:p>
            <w:pPr>
              <w:pStyle w:val="Normal"/>
              <w:numPr>
                <w:ilvl w:val="0"/>
                <w:numId w:val="1"/>
              </w:numPr>
              <w:tabs>
                <w:tab w:val="clear" w:pos="720"/>
                <w:tab w:val="left" w:pos="0" w:leader="none"/>
              </w:tabs>
              <w:ind w:hanging="720" w:start="1062" w:end="0"/>
              <w:rPr>
                <w:sz w:val="22"/>
                <w:szCs w:val="22"/>
              </w:rPr>
            </w:pPr>
            <w:r>
              <w:rPr>
                <w:sz w:val="22"/>
                <w:szCs w:val="22"/>
              </w:rPr>
              <w:t>petitions to permit after an initial 60 day period one additional 60 day period or extension</w:t>
            </w:r>
          </w:p>
          <w:p>
            <w:pPr>
              <w:pStyle w:val="Normal"/>
              <w:numPr>
                <w:ilvl w:val="0"/>
                <w:numId w:val="1"/>
              </w:numPr>
              <w:tabs>
                <w:tab w:val="clear" w:pos="720"/>
                <w:tab w:val="left" w:pos="0" w:leader="none"/>
              </w:tabs>
              <w:ind w:hanging="720" w:start="1062" w:end="0"/>
              <w:rPr>
                <w:sz w:val="22"/>
                <w:szCs w:val="22"/>
              </w:rPr>
            </w:pPr>
            <w:r>
              <w:rPr>
                <w:sz w:val="22"/>
                <w:szCs w:val="22"/>
              </w:rPr>
              <w:t>applications for extensions of time to file required reports, data and information</w:t>
            </w:r>
          </w:p>
          <w:p>
            <w:pPr>
              <w:pStyle w:val="Normal"/>
              <w:numPr>
                <w:ilvl w:val="0"/>
                <w:numId w:val="1"/>
              </w:numPr>
              <w:tabs>
                <w:tab w:val="clear" w:pos="720"/>
                <w:tab w:val="left" w:pos="0" w:leader="none"/>
              </w:tabs>
              <w:ind w:hanging="702" w:start="702" w:end="0"/>
              <w:rPr>
                <w:sz w:val="22"/>
                <w:szCs w:val="22"/>
              </w:rPr>
            </w:pPr>
            <w:r>
              <w:rPr>
                <w:sz w:val="22"/>
                <w:szCs w:val="22"/>
              </w:rPr>
              <w:t>Take following actions:</w:t>
            </w:r>
          </w:p>
          <w:p>
            <w:pPr>
              <w:pStyle w:val="Normal"/>
              <w:numPr>
                <w:ilvl w:val="0"/>
                <w:numId w:val="1"/>
              </w:numPr>
              <w:tabs>
                <w:tab w:val="clear" w:pos="720"/>
                <w:tab w:val="left" w:pos="0" w:leader="none"/>
              </w:tabs>
              <w:ind w:hanging="720" w:start="1062" w:end="0"/>
              <w:rPr>
                <w:sz w:val="22"/>
                <w:szCs w:val="22"/>
              </w:rPr>
            </w:pPr>
            <w:r>
              <w:rPr>
                <w:sz w:val="22"/>
                <w:szCs w:val="22"/>
              </w:rPr>
              <w:t>issue reports of a noncontroversial nature for public information</w:t>
            </w:r>
          </w:p>
          <w:p>
            <w:pPr>
              <w:pStyle w:val="Normal"/>
              <w:numPr>
                <w:ilvl w:val="0"/>
                <w:numId w:val="1"/>
              </w:numPr>
              <w:tabs>
                <w:tab w:val="clear" w:pos="720"/>
                <w:tab w:val="left" w:pos="0" w:leader="none"/>
              </w:tabs>
              <w:ind w:hanging="720" w:start="1062" w:end="0"/>
              <w:rPr>
                <w:sz w:val="22"/>
                <w:szCs w:val="22"/>
              </w:rPr>
            </w:pPr>
            <w:r>
              <w:rPr>
                <w:sz w:val="22"/>
                <w:szCs w:val="22"/>
              </w:rPr>
              <w:t>issue and sign deficiency letters</w:t>
            </w:r>
          </w:p>
          <w:p>
            <w:pPr>
              <w:pStyle w:val="Normal"/>
              <w:numPr>
                <w:ilvl w:val="0"/>
                <w:numId w:val="1"/>
              </w:numPr>
              <w:tabs>
                <w:tab w:val="clear" w:pos="720"/>
                <w:tab w:val="left" w:pos="0" w:leader="none"/>
              </w:tabs>
              <w:ind w:hanging="720" w:start="1062" w:end="0"/>
              <w:rPr>
                <w:sz w:val="22"/>
                <w:szCs w:val="22"/>
              </w:rPr>
            </w:pPr>
            <w:r>
              <w:rPr>
                <w:sz w:val="22"/>
                <w:szCs w:val="22"/>
              </w:rPr>
              <w:t>accept filings, data, reports required by FERC orders or initial decisions</w:t>
            </w:r>
          </w:p>
          <w:p>
            <w:pPr>
              <w:pStyle w:val="Normal"/>
              <w:numPr>
                <w:ilvl w:val="0"/>
                <w:numId w:val="1"/>
              </w:numPr>
              <w:tabs>
                <w:tab w:val="clear" w:pos="720"/>
                <w:tab w:val="left" w:pos="0" w:leader="none"/>
              </w:tabs>
              <w:ind w:hanging="720" w:start="1062" w:end="0"/>
              <w:rPr>
                <w:sz w:val="22"/>
                <w:szCs w:val="22"/>
              </w:rPr>
            </w:pPr>
            <w:r>
              <w:rPr>
                <w:sz w:val="22"/>
                <w:szCs w:val="22"/>
              </w:rPr>
              <w:t xml:space="preserve">petitions of waiver </w:t>
            </w:r>
          </w:p>
          <w:p>
            <w:pPr>
              <w:pStyle w:val="Normal"/>
              <w:numPr>
                <w:ilvl w:val="0"/>
                <w:numId w:val="1"/>
              </w:numPr>
              <w:tabs>
                <w:tab w:val="clear" w:pos="720"/>
                <w:tab w:val="left" w:pos="0" w:leader="none"/>
              </w:tabs>
              <w:ind w:hanging="702" w:start="702" w:end="0"/>
              <w:rPr>
                <w:sz w:val="22"/>
                <w:szCs w:val="22"/>
              </w:rPr>
            </w:pPr>
            <w:r>
              <w:rPr>
                <w:sz w:val="22"/>
                <w:szCs w:val="22"/>
              </w:rPr>
              <w:t>Take following actions with respect to rates, rate schedules and rate filings submitted by public utilities (electric rate filings): accept uncontested initial rate schedule filings, approve uncontested rates and rate schedules; reject a rate filing if it fails to comply with rules and regulations; assign an ALJ pending FERC action on settlement agreements</w:t>
            </w:r>
          </w:p>
          <w:p>
            <w:pPr>
              <w:pStyle w:val="Normal"/>
              <w:numPr>
                <w:ilvl w:val="0"/>
                <w:numId w:val="0"/>
              </w:numPr>
              <w:ind w:hanging="0" w:start="0"/>
              <w:rPr>
                <w:sz w:val="22"/>
                <w:szCs w:val="22"/>
              </w:rPr>
            </w:pPr>
            <w:r>
              <w:rPr>
                <w:sz w:val="22"/>
                <w:szCs w:val="22"/>
              </w:rPr>
              <w:t>Take appropriate actions on uncontested applications for sale or lease or disposition of facilities, consolidation or acquisition of securities; interlocking positions; certification of qualifying status for small power production and cogeneration facilities; extension of time for utilities to file required reports, data and information</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sz w:val="24"/>
                <w:szCs w:val="24"/>
              </w:rPr>
            </w:pPr>
            <w:r>
              <w:rPr>
                <w:sz w:val="24"/>
                <w:szCs w:val="24"/>
              </w:rPr>
              <w:t>Old §375.308</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Office of Electric Power Regulation</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Transferred to OMTR</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New §375.308</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b/>
                <w:bCs/>
                <w:sz w:val="22"/>
                <w:szCs w:val="22"/>
              </w:rPr>
              <w:t>Office of Energy Projects</w:t>
            </w:r>
          </w:p>
        </w:tc>
        <w:tc>
          <w:tcPr>
            <w:tcW w:w="39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02" w:start="702" w:end="0"/>
              <w:rPr>
                <w:sz w:val="22"/>
                <w:szCs w:val="22"/>
              </w:rPr>
            </w:pPr>
            <w:r>
              <w:rPr>
                <w:sz w:val="22"/>
                <w:szCs w:val="22"/>
              </w:rPr>
              <w:t>Authorizes director to take action on uncontested applications for construction or acquisition and operation of facilities with cost less than the limits specified in  §157.208(d)</w:t>
            </w:r>
          </w:p>
          <w:p>
            <w:pPr>
              <w:pStyle w:val="Normal"/>
              <w:numPr>
                <w:ilvl w:val="0"/>
                <w:numId w:val="0"/>
              </w:numPr>
              <w:ind w:hanging="0" w:start="0"/>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snapToGrid w:val="false"/>
              <w:ind w:hanging="360" w:start="360"/>
              <w:rPr>
                <w:sz w:val="24"/>
                <w:szCs w:val="24"/>
              </w:rPr>
            </w:pPr>
            <w:r>
              <w:rPr>
                <w:sz w:val="24"/>
                <w:szCs w:val="24"/>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39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702" w:start="702" w:end="0"/>
              <w:rPr>
                <w:sz w:val="22"/>
                <w:szCs w:val="22"/>
              </w:rPr>
            </w:pPr>
            <w:r>
              <w:rPr>
                <w:sz w:val="22"/>
                <w:szCs w:val="22"/>
              </w:rPr>
              <w:t>Undertake following actions to compute each year project limits; issue reports for public use; accept filed data and reports required by FERC; reject requests failing to comply with provisions; take appropriate action on waivers; incidental exercise of delegated authority.</w:t>
            </w:r>
          </w:p>
          <w:p>
            <w:pPr>
              <w:pStyle w:val="Normal"/>
              <w:numPr>
                <w:ilvl w:val="0"/>
                <w:numId w:val="0"/>
              </w:numPr>
              <w:ind w:hanging="0" w:start="0"/>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sz w:val="24"/>
                <w:szCs w:val="24"/>
              </w:rPr>
            </w:pPr>
            <w:r>
              <w:rPr>
                <w:sz w:val="24"/>
                <w:szCs w:val="24"/>
              </w:rPr>
              <w:t>§375.310</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Office of Economic Policy</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Deleted</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§375.311</w:t>
            </w:r>
          </w:p>
        </w:tc>
        <w:tc>
          <w:tcPr>
            <w:tcW w:w="2880" w:type="dxa"/>
            <w:tcBorders>
              <w:top w:val="single" w:sz="6" w:space="0" w:color="000000"/>
              <w:start w:val="single" w:sz="6" w:space="0" w:color="000000"/>
              <w:bottom w:val="single" w:sz="6" w:space="0" w:color="000000"/>
              <w:end w:val="single" w:sz="6" w:space="0" w:color="000000"/>
            </w:tcBorders>
          </w:tcPr>
          <w:p>
            <w:pPr>
              <w:pStyle w:val="Normal"/>
              <w:rPr>
                <w:b/>
                <w:bCs/>
                <w:sz w:val="22"/>
                <w:szCs w:val="22"/>
              </w:rPr>
            </w:pPr>
            <w:r>
              <w:rPr>
                <w:sz w:val="22"/>
                <w:szCs w:val="22"/>
              </w:rPr>
              <w:t>Delegations during emergency conditions</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Section redesignated as </w:t>
            </w:r>
            <w:r>
              <w:rPr>
                <w:sz w:val="24"/>
                <w:szCs w:val="24"/>
              </w:rPr>
              <w:t>§375.310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§375.312</w:t>
            </w:r>
          </w:p>
        </w:tc>
        <w:tc>
          <w:tcPr>
            <w:tcW w:w="2880" w:type="dxa"/>
            <w:tcBorders>
              <w:top w:val="single" w:sz="6" w:space="0" w:color="000000"/>
              <w:start w:val="single" w:sz="6" w:space="0" w:color="000000"/>
              <w:bottom w:val="single" w:sz="6" w:space="0" w:color="000000"/>
              <w:end w:val="single" w:sz="6" w:space="0" w:color="000000"/>
            </w:tcBorders>
          </w:tcPr>
          <w:p>
            <w:pPr>
              <w:pStyle w:val="Normal"/>
              <w:rPr>
                <w:b/>
                <w:bCs/>
                <w:sz w:val="22"/>
                <w:szCs w:val="22"/>
              </w:rPr>
            </w:pPr>
            <w:r>
              <w:rPr>
                <w:sz w:val="22"/>
                <w:szCs w:val="22"/>
              </w:rPr>
              <w:t>Office of External Affairs</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Section redesignated as </w:t>
            </w:r>
            <w:r>
              <w:rPr>
                <w:sz w:val="24"/>
                <w:szCs w:val="24"/>
              </w:rPr>
              <w:t>§375.310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§375.313</w:t>
            </w:r>
          </w:p>
        </w:tc>
        <w:tc>
          <w:tcPr>
            <w:tcW w:w="2880" w:type="dxa"/>
            <w:tcBorders>
              <w:top w:val="single" w:sz="6" w:space="0" w:color="000000"/>
              <w:start w:val="single" w:sz="6" w:space="0" w:color="000000"/>
              <w:bottom w:val="single" w:sz="6" w:space="0" w:color="000000"/>
              <w:end w:val="single" w:sz="6" w:space="0" w:color="000000"/>
            </w:tcBorders>
          </w:tcPr>
          <w:p>
            <w:pPr>
              <w:pStyle w:val="Normal"/>
              <w:rPr>
                <w:b/>
                <w:bCs/>
                <w:sz w:val="22"/>
                <w:szCs w:val="22"/>
              </w:rPr>
            </w:pPr>
            <w:r>
              <w:rPr>
                <w:sz w:val="22"/>
                <w:szCs w:val="22"/>
              </w:rPr>
              <w:t>Office of Executive Director</w:t>
            </w:r>
          </w:p>
        </w:tc>
        <w:tc>
          <w:tcPr>
            <w:tcW w:w="3978" w:type="dxa"/>
            <w:tcBorders>
              <w:top w:val="single" w:sz="6" w:space="0" w:color="000000"/>
              <w:start w:val="single" w:sz="6" w:space="0" w:color="000000"/>
              <w:bottom w:val="single" w:sz="6" w:space="0" w:color="000000"/>
              <w:end w:val="single" w:sz="6" w:space="0" w:color="000000"/>
            </w:tcBorders>
          </w:tcPr>
          <w:p>
            <w:pPr>
              <w:pStyle w:val="Normal"/>
              <w:rPr/>
            </w:pPr>
            <w:r>
              <w:rPr>
                <w:sz w:val="22"/>
                <w:szCs w:val="22"/>
              </w:rPr>
              <w:t xml:space="preserve">Transferred to OFAO; Section redesignated as </w:t>
            </w:r>
            <w:r>
              <w:rPr>
                <w:sz w:val="24"/>
                <w:szCs w:val="24"/>
              </w:rPr>
              <w:t>§375.312</w:t>
            </w:r>
          </w:p>
          <w:p>
            <w:pPr>
              <w:pStyle w:val="Normal"/>
              <w:rPr>
                <w:sz w:val="24"/>
                <w:szCs w:val="24"/>
              </w:rPr>
            </w:pPr>
            <w:r>
              <w:rPr>
                <w:sz w:val="24"/>
                <w:szCs w:val="24"/>
              </w:rPr>
            </w:r>
          </w:p>
          <w:p>
            <w:pPr>
              <w:pStyle w:val="Normal"/>
              <w:rPr>
                <w:sz w:val="22"/>
                <w:szCs w:val="22"/>
              </w:rPr>
            </w:pPr>
            <w:r>
              <w:rPr>
                <w:sz w:val="24"/>
                <w:szCs w:val="24"/>
              </w:rPr>
              <w:t>Delegations to the Director of the Office of Finance, Accounting and Operations:</w:t>
            </w:r>
          </w:p>
          <w:p>
            <w:pPr>
              <w:pStyle w:val="Normal"/>
              <w:numPr>
                <w:ilvl w:val="0"/>
                <w:numId w:val="1"/>
              </w:numPr>
              <w:tabs>
                <w:tab w:val="clear" w:pos="720"/>
                <w:tab w:val="left" w:pos="0" w:leader="none"/>
              </w:tabs>
              <w:ind w:hanging="702" w:start="702" w:end="0"/>
              <w:rPr>
                <w:sz w:val="22"/>
                <w:szCs w:val="22"/>
              </w:rPr>
            </w:pPr>
            <w:r>
              <w:rPr>
                <w:sz w:val="22"/>
                <w:szCs w:val="22"/>
              </w:rPr>
              <w:t>Sign financial accounting and reporting matters on behalf of FERC</w:t>
            </w:r>
          </w:p>
          <w:p>
            <w:pPr>
              <w:pStyle w:val="Normal"/>
              <w:numPr>
                <w:ilvl w:val="0"/>
                <w:numId w:val="1"/>
              </w:numPr>
              <w:tabs>
                <w:tab w:val="clear" w:pos="720"/>
                <w:tab w:val="left" w:pos="0" w:leader="none"/>
              </w:tabs>
              <w:ind w:hanging="702" w:start="702" w:end="0"/>
              <w:rPr>
                <w:sz w:val="22"/>
                <w:szCs w:val="22"/>
              </w:rPr>
            </w:pPr>
            <w:r>
              <w:rPr>
                <w:sz w:val="22"/>
                <w:szCs w:val="22"/>
              </w:rPr>
              <w:t>Pass upon actual legitimate original cost, depreciation and net investment and sign audit reports; pass upon or approve requests by state and federal agencies to review staff working papers from financial audits</w:t>
            </w:r>
          </w:p>
          <w:p>
            <w:pPr>
              <w:pStyle w:val="Normal"/>
              <w:numPr>
                <w:ilvl w:val="0"/>
                <w:numId w:val="1"/>
              </w:numPr>
              <w:tabs>
                <w:tab w:val="clear" w:pos="720"/>
                <w:tab w:val="left" w:pos="0" w:leader="none"/>
              </w:tabs>
              <w:ind w:hanging="702" w:start="702" w:end="0"/>
              <w:rPr>
                <w:sz w:val="22"/>
                <w:szCs w:val="22"/>
              </w:rPr>
            </w:pPr>
            <w:r>
              <w:rPr>
                <w:sz w:val="22"/>
                <w:szCs w:val="22"/>
              </w:rPr>
              <w:t xml:space="preserve">Prescribe updated fees for Part 381; deny or grant petitions for waiver of fees or exemptions prescribed in </w:t>
            </w:r>
            <w:r>
              <w:rPr>
                <w:sz w:val="24"/>
                <w:szCs w:val="24"/>
              </w:rPr>
              <w:t>§381.302</w:t>
            </w:r>
          </w:p>
          <w:p>
            <w:pPr>
              <w:pStyle w:val="Normal"/>
              <w:numPr>
                <w:ilvl w:val="0"/>
                <w:numId w:val="1"/>
              </w:numPr>
              <w:tabs>
                <w:tab w:val="clear" w:pos="720"/>
                <w:tab w:val="left" w:pos="0" w:leader="none"/>
              </w:tabs>
              <w:ind w:hanging="702" w:start="702" w:end="0"/>
              <w:rPr>
                <w:sz w:val="22"/>
                <w:szCs w:val="22"/>
              </w:rPr>
            </w:pPr>
            <w:r>
              <w:rPr>
                <w:sz w:val="24"/>
                <w:szCs w:val="24"/>
              </w:rPr>
              <w:t>Determine annual charges for administrative costs, use of U.S. lands, use of governmental dams or other structures</w:t>
            </w:r>
          </w:p>
          <w:p>
            <w:pPr>
              <w:pStyle w:val="Normal"/>
              <w:numPr>
                <w:ilvl w:val="0"/>
                <w:numId w:val="1"/>
              </w:numPr>
              <w:tabs>
                <w:tab w:val="clear" w:pos="720"/>
                <w:tab w:val="left" w:pos="0" w:leader="none"/>
              </w:tabs>
              <w:ind w:hanging="720" w:start="720" w:end="0"/>
              <w:rPr>
                <w:sz w:val="24"/>
                <w:szCs w:val="24"/>
              </w:rPr>
            </w:pPr>
            <w:r>
              <w:rPr>
                <w:sz w:val="24"/>
                <w:szCs w:val="24"/>
              </w:rPr>
              <w:t>Grant or deny penalty charges for late payment of annual charges or petitions for exemption from annual charges</w:t>
            </w:r>
          </w:p>
          <w:p>
            <w:pPr>
              <w:pStyle w:val="Normal"/>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§375.314</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Office of Hydropower Licensing</w:t>
            </w:r>
          </w:p>
        </w:tc>
        <w:tc>
          <w:tcPr>
            <w:tcW w:w="397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Transferred to OEP (§375.308) </w:t>
            </w:r>
          </w:p>
        </w:tc>
      </w:tr>
    </w:tbl>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Part 376</w:t>
      </w:r>
    </w:p>
    <w:p>
      <w:pPr>
        <w:pStyle w:val="Normal"/>
        <w:jc w:val="center"/>
        <w:rPr>
          <w:b/>
          <w:bCs/>
          <w:sz w:val="28"/>
          <w:szCs w:val="28"/>
        </w:rPr>
      </w:pPr>
      <w:r>
        <w:rPr>
          <w:b/>
          <w:bCs/>
          <w:sz w:val="28"/>
          <w:szCs w:val="28"/>
        </w:rPr>
      </w:r>
    </w:p>
    <w:p>
      <w:pPr>
        <w:pStyle w:val="Normal"/>
        <w:rPr>
          <w:sz w:val="24"/>
          <w:szCs w:val="24"/>
        </w:rPr>
      </w:pPr>
      <w:r>
        <w:rPr>
          <w:sz w:val="24"/>
          <w:szCs w:val="24"/>
        </w:rPr>
        <w:t xml:space="preserve">Part 376 governs the Commission's organization and operations during emergency conditions.  The final rule lists officials authorized to conduct operations during emergency conditions.  </w:t>
      </w:r>
    </w:p>
    <w:p>
      <w:pPr>
        <w:pStyle w:val="Normal"/>
        <w:jc w:val="center"/>
        <w:rPr>
          <w:b/>
          <w:bCs/>
          <w:sz w:val="28"/>
          <w:szCs w:val="28"/>
        </w:rPr>
      </w:pPr>
      <w:r>
        <w:rPr>
          <w:b/>
          <w:bCs/>
          <w:sz w:val="28"/>
          <w:szCs w:val="28"/>
        </w:rPr>
        <w:t xml:space="preserve"> </w:t>
      </w:r>
      <w:r>
        <w:rPr>
          <w:b/>
          <w:bCs/>
          <w:sz w:val="28"/>
          <w:szCs w:val="28"/>
        </w:rPr>
        <w:t>IV.</w:t>
      </w:r>
    </w:p>
    <w:p>
      <w:pPr>
        <w:pStyle w:val="Normal"/>
        <w:jc w:val="center"/>
        <w:rPr>
          <w:b/>
          <w:bCs/>
          <w:sz w:val="28"/>
          <w:szCs w:val="28"/>
        </w:rPr>
      </w:pPr>
      <w:r>
        <w:rPr>
          <w:b/>
          <w:bCs/>
          <w:sz w:val="28"/>
          <w:szCs w:val="28"/>
        </w:rPr>
        <w:t xml:space="preserve"> </w:t>
      </w:r>
      <w:r>
        <w:rPr>
          <w:b/>
          <w:bCs/>
          <w:sz w:val="28"/>
          <w:szCs w:val="28"/>
        </w:rPr>
        <w:t>Procedure</w:t>
      </w:r>
    </w:p>
    <w:p>
      <w:pPr>
        <w:pStyle w:val="Normal"/>
        <w:jc w:val="center"/>
        <w:rPr>
          <w:b/>
          <w:bCs/>
          <w:sz w:val="28"/>
          <w:szCs w:val="28"/>
        </w:rPr>
      </w:pPr>
      <w:r>
        <w:rPr>
          <w:b/>
          <w:bCs/>
          <w:sz w:val="28"/>
          <w:szCs w:val="28"/>
        </w:rPr>
      </w:r>
    </w:p>
    <w:p>
      <w:pPr>
        <w:pStyle w:val="Normal"/>
        <w:rPr>
          <w:sz w:val="24"/>
          <w:szCs w:val="24"/>
        </w:rPr>
      </w:pPr>
      <w:r>
        <w:rPr>
          <w:sz w:val="24"/>
          <w:szCs w:val="24"/>
        </w:rPr>
        <w:t>The Commission is issuing this as a final rule without a period for public comment since 5 U.S.C. 553(b) makes comment procedures unnecessary.  This rule concerns only matters of internal agency procedure.</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Summary-RM00-4.doc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Summary-RM00-4.doc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2000-01-17T17:47:00Z</dcterms:created>
  <dc:creator>Jan Butler</dc:creator>
  <dc:description/>
  <dc:language>en-CA</dc:language>
  <cp:lastModifiedBy>Janet Butler</cp:lastModifiedBy>
  <cp:lastPrinted>2000-01-17T14:19:00Z</cp:lastPrinted>
  <dcterms:modified xsi:type="dcterms:W3CDTF">2000-01-17T17:51:00Z</dcterms:modified>
  <cp:revision>3</cp:revision>
  <dc:subject/>
  <dc:title>DRAFT</dc:title>
</cp:coreProperties>
</file>