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 xml:space="preserve">Summary of FERC’s December 15 Order </w:t>
      </w:r>
    </w:p>
    <w:p>
      <w:pPr>
        <w:pStyle w:val="Heading1"/>
        <w:ind w:hanging="0" w:start="0"/>
        <w:jc w:val="center"/>
        <w:rPr/>
      </w:pPr>
      <w:r>
        <w:rPr/>
        <w:t>on the California Markets</w:t>
      </w:r>
    </w:p>
    <w:p>
      <w:pPr>
        <w:pStyle w:val="Heading1"/>
        <w:ind w:hanging="0" w:start="0"/>
        <w:rPr/>
      </w:pPr>
      <w:r>
        <w:rPr/>
      </w:r>
    </w:p>
    <w:p>
      <w:pPr>
        <w:pStyle w:val="Heading1"/>
        <w:ind w:hanging="0" w:start="0"/>
        <w:rPr/>
      </w:pPr>
      <w:r>
        <w:rPr/>
        <w:t xml:space="preserve">Proposed Mitigation of Spot Market Prices – </w:t>
      </w:r>
      <w:r>
        <w:rPr>
          <w:b w:val="false"/>
        </w:rPr>
        <w:t>FERC’s primary spot market price mitigation measure is to move load and supply to longer term markets – It does this through the following measures (in order of importance).</w:t>
      </w:r>
    </w:p>
    <w:p>
      <w:pPr>
        <w:pStyle w:val="Normal"/>
        <w:numPr>
          <w:ilvl w:val="0"/>
          <w:numId w:val="8"/>
        </w:numPr>
        <w:rPr>
          <w:sz w:val="24"/>
        </w:rPr>
      </w:pPr>
      <w:r>
        <w:rPr>
          <w:b/>
          <w:sz w:val="24"/>
        </w:rPr>
        <w:t>Eliminating the Buy/Sell Requirement –</w:t>
      </w:r>
      <w:r>
        <w:rPr>
          <w:sz w:val="24"/>
        </w:rPr>
        <w:t xml:space="preserve"> </w:t>
      </w:r>
    </w:p>
    <w:p>
      <w:pPr>
        <w:pStyle w:val="Normal"/>
        <w:numPr>
          <w:ilvl w:val="0"/>
          <w:numId w:val="4"/>
        </w:numPr>
        <w:tabs>
          <w:tab w:val="left" w:pos="720" w:leader="none"/>
        </w:tabs>
        <w:ind w:hanging="360" w:start="720" w:end="0"/>
        <w:rPr>
          <w:sz w:val="24"/>
        </w:rPr>
      </w:pPr>
      <w:r>
        <w:rPr>
          <w:sz w:val="24"/>
        </w:rPr>
        <w:t xml:space="preserve">Effective December 15, 2000, FERC eliminated PG&amp;E, SCE, and SDG&amp;E’s obligation to sell all of their generation to and buy all their generation from the PX.   To terminate their authority to sell into the PX, FERC required the companies to file compliance filings by December 31, 2000. </w:t>
      </w:r>
    </w:p>
    <w:p>
      <w:pPr>
        <w:pStyle w:val="Normal"/>
        <w:numPr>
          <w:ilvl w:val="0"/>
          <w:numId w:val="4"/>
        </w:numPr>
        <w:tabs>
          <w:tab w:val="left" w:pos="720" w:leader="none"/>
        </w:tabs>
        <w:ind w:hanging="360" w:start="720" w:end="0"/>
        <w:rPr>
          <w:sz w:val="24"/>
        </w:rPr>
      </w:pPr>
      <w:r>
        <w:rPr>
          <w:sz w:val="24"/>
        </w:rPr>
        <w:t>FERC thereby released all of the IOUs’ 40,000 MWs of peak load from exposure to the spot market.  It also allowed 25,000 MW of generation owned by or under contract to the IOUs to be sold directly to the IOU’s retail customers thereby allowing CPUC regulation of the rates for this power (de-federalizing this portion of the market).   To the extent the IOUs’ resources exceed their load at various times, they are free to sell any surplus at wholesale pursuant to their FERC-filed rate schedules.</w:t>
      </w:r>
    </w:p>
    <w:p>
      <w:pPr>
        <w:pStyle w:val="Normal"/>
        <w:numPr>
          <w:ilvl w:val="0"/>
          <w:numId w:val="3"/>
        </w:numPr>
        <w:tabs>
          <w:tab w:val="left" w:pos="720" w:leader="none"/>
        </w:tabs>
        <w:ind w:hanging="360" w:start="720" w:end="0"/>
        <w:rPr>
          <w:sz w:val="24"/>
        </w:rPr>
      </w:pPr>
      <w:r>
        <w:rPr>
          <w:sz w:val="24"/>
        </w:rPr>
        <w:t xml:space="preserve">FERC found that the CPUC must still act to remove the requirement that the IOUs buy the balance of their power from the PX </w:t>
      </w:r>
      <w:r>
        <w:rPr>
          <w:rStyle w:val="FootnoteCharacters"/>
          <w:rStyle w:val="FootnoteReference"/>
          <w:sz w:val="24"/>
        </w:rPr>
        <w:footnoteReference w:id="2"/>
      </w:r>
      <w:r>
        <w:rPr>
          <w:sz w:val="24"/>
        </w:rPr>
        <w:t xml:space="preserve"> and to assure that utilities will be able to recover their costs of contracts in the bilateral market.  (I.e., FERC did not find that its decision preempted the CPUC’s decisions on these matters). </w:t>
      </w:r>
      <w:r>
        <w:rPr>
          <w:rStyle w:val="FootnoteCharacters"/>
          <w:rStyle w:val="FootnoteReference"/>
          <w:sz w:val="24"/>
        </w:rPr>
        <w:footnoteReference w:id="3"/>
      </w:r>
      <w:r>
        <w:rPr>
          <w:sz w:val="24"/>
        </w:rPr>
        <w:t xml:space="preserve">  It said that the CPUC must timely approve of IOUs’ long-term purchases using policies that apply evenly to short and long term contracts.  It found that progress in eliminating artificial barriers to forward contracting is essential to stabilizing California’s wholesale markets.  It found the buy /sell requirement no longer necessary for stranded cost purposes because the IOUs have now valued or recovered all of their stranded costs.</w:t>
      </w:r>
    </w:p>
    <w:p>
      <w:pPr>
        <w:pStyle w:val="Normal"/>
        <w:numPr>
          <w:ilvl w:val="0"/>
          <w:numId w:val="3"/>
        </w:numPr>
        <w:tabs>
          <w:tab w:val="left" w:pos="720" w:leader="none"/>
        </w:tabs>
        <w:ind w:hanging="360" w:start="720" w:end="0"/>
        <w:rPr>
          <w:sz w:val="24"/>
        </w:rPr>
      </w:pPr>
      <w:r>
        <w:rPr>
          <w:sz w:val="24"/>
        </w:rPr>
        <w:t xml:space="preserve">To nonetheless effectuate its intent, effective April 30, 2001, as of the close of the trading day, FERC eliminated the PX’s tariff which permitted it to operate as a mandatory power exchange.  However, the PX may file to re-institute the tariff if the CPUC acts to remove the mandatory buy requirement and develop prudence benchmarks.  </w:t>
      </w:r>
    </w:p>
    <w:p>
      <w:pPr>
        <w:pStyle w:val="Normal"/>
        <w:numPr>
          <w:ilvl w:val="0"/>
          <w:numId w:val="9"/>
        </w:numPr>
        <w:tabs>
          <w:tab w:val="left" w:pos="720" w:leader="none"/>
        </w:tabs>
        <w:ind w:hanging="360" w:start="720" w:end="0"/>
        <w:rPr>
          <w:sz w:val="24"/>
        </w:rPr>
      </w:pPr>
      <w:r>
        <w:rPr>
          <w:b/>
          <w:sz w:val="24"/>
        </w:rPr>
        <w:t>Benchmark Price for Wholesale Bilateral Contracts</w:t>
      </w:r>
      <w:r>
        <w:rPr>
          <w:sz w:val="24"/>
        </w:rPr>
        <w:t xml:space="preserve"> – </w:t>
      </w:r>
    </w:p>
    <w:p>
      <w:pPr>
        <w:pStyle w:val="Normal"/>
        <w:numPr>
          <w:ilvl w:val="0"/>
          <w:numId w:val="16"/>
        </w:numPr>
        <w:tabs>
          <w:tab w:val="clear" w:pos="720"/>
          <w:tab w:val="left" w:pos="1080" w:leader="none"/>
        </w:tabs>
        <w:ind w:hanging="360" w:start="1080" w:end="0"/>
        <w:rPr>
          <w:sz w:val="24"/>
        </w:rPr>
      </w:pPr>
      <w:r>
        <w:rPr>
          <w:sz w:val="24"/>
          <w:lang w:eastAsia="en-US"/>
        </w:rPr>
        <w:t>To provide guidance to market participants and tell the PUC what will be viewed as prudent contracting, FERC will use a benchmark for reviewing complaints brought concerning prices of long-term electric supply contracts negotiated over the next year.</w:t>
      </w:r>
      <w:r>
        <w:rPr>
          <w:rStyle w:val="FootnoteCharacters"/>
          <w:rStyle w:val="FootnoteReference"/>
          <w:sz w:val="24"/>
          <w:lang w:eastAsia="en-US"/>
        </w:rPr>
        <w:footnoteReference w:id="4"/>
      </w:r>
      <w:r>
        <w:rPr>
          <w:sz w:val="24"/>
          <w:lang w:eastAsia="en-US"/>
        </w:rPr>
        <w:t xml:space="preserve"> FERC will be monitoring the supply and prices for long-term products.</w:t>
      </w:r>
    </w:p>
    <w:p>
      <w:pPr>
        <w:pStyle w:val="Normal"/>
        <w:numPr>
          <w:ilvl w:val="0"/>
          <w:numId w:val="16"/>
        </w:numPr>
        <w:tabs>
          <w:tab w:val="clear" w:pos="720"/>
          <w:tab w:val="left" w:pos="1080" w:leader="none"/>
        </w:tabs>
        <w:ind w:hanging="360" w:start="1080" w:end="0"/>
        <w:rPr>
          <w:sz w:val="24"/>
        </w:rPr>
      </w:pPr>
      <w:r>
        <w:rPr>
          <w:sz w:val="24"/>
          <w:lang w:eastAsia="en-US"/>
        </w:rPr>
        <w:t>FERC stated it “view” that 5 year contracts at a benchmark price of $74/MWh 7 by 24 would be deemed prudent and therefore must be considered just and reasonable for purposes of flowing those costs through to retail customers.  B</w:t>
      </w:r>
      <w:r>
        <w:rPr>
          <w:sz w:val="24"/>
        </w:rPr>
        <w:t>uyers may elect to negotiate above those levels to the extent they think the contract or supplier brings better value (e.g. shorter term, favorable terms and conditions, assignment of the risk of variable cost exposure, particular supplier or resource characteristics.)</w:t>
      </w:r>
    </w:p>
    <w:p>
      <w:pPr>
        <w:pStyle w:val="Normal"/>
        <w:numPr>
          <w:ilvl w:val="0"/>
          <w:numId w:val="14"/>
        </w:numPr>
        <w:tabs>
          <w:tab w:val="clear" w:pos="720"/>
          <w:tab w:val="left" w:pos="1080" w:leader="none"/>
        </w:tabs>
        <w:ind w:hanging="360" w:start="1080" w:end="0"/>
        <w:rPr>
          <w:sz w:val="24"/>
        </w:rPr>
      </w:pPr>
      <w:r>
        <w:rPr>
          <w:sz w:val="24"/>
        </w:rPr>
        <w:t>By a separate notice, FERC set up a conference on Tuesday to provide a forum to allow buyers, sellers, and state officials to develop a mutually agreeable plan for the initial round of forward contracts.</w:t>
      </w:r>
    </w:p>
    <w:p>
      <w:pPr>
        <w:pStyle w:val="Normal"/>
        <w:numPr>
          <w:ilvl w:val="0"/>
          <w:numId w:val="14"/>
        </w:numPr>
        <w:tabs>
          <w:tab w:val="clear" w:pos="720"/>
          <w:tab w:val="left" w:pos="1080" w:leader="none"/>
        </w:tabs>
        <w:ind w:hanging="360" w:start="1080" w:end="0"/>
        <w:rPr>
          <w:sz w:val="24"/>
        </w:rPr>
      </w:pPr>
      <w:r>
        <w:rPr>
          <w:sz w:val="24"/>
        </w:rPr>
        <w:t>FERC ordered sellers with market-based rate authority to report by January 2, 2001, on a confidential basis, round-the-clock long-term products in annual increments between two and five years which they are willing to offer in California.</w:t>
      </w:r>
    </w:p>
    <w:p>
      <w:pPr>
        <w:pStyle w:val="Heading1"/>
        <w:numPr>
          <w:ilvl w:val="0"/>
          <w:numId w:val="8"/>
        </w:numPr>
        <w:rPr>
          <w:b w:val="false"/>
        </w:rPr>
      </w:pPr>
      <w:r>
        <w:rPr/>
        <w:t xml:space="preserve">Penalties for Underscheduling– </w:t>
      </w:r>
      <w:r>
        <w:rPr>
          <w:b w:val="false"/>
        </w:rPr>
        <w:t>FERC ordered the ISO to submit a compliance filing making the following changes to its tariff by December 31, 2000.</w:t>
      </w:r>
    </w:p>
    <w:p>
      <w:pPr>
        <w:pStyle w:val="Normal"/>
        <w:numPr>
          <w:ilvl w:val="0"/>
          <w:numId w:val="13"/>
        </w:numPr>
        <w:tabs>
          <w:tab w:val="left" w:pos="720" w:leader="none"/>
        </w:tabs>
        <w:ind w:hanging="360" w:start="720" w:end="0"/>
        <w:rPr>
          <w:sz w:val="24"/>
          <w:lang w:eastAsia="en-US"/>
        </w:rPr>
      </w:pPr>
      <w:r>
        <w:rPr>
          <w:sz w:val="24"/>
          <w:lang w:eastAsia="en-US"/>
        </w:rPr>
        <w:t>Market participants must schedule 95 percent of their entire load prior to real-time.  A</w:t>
      </w:r>
      <w:r>
        <w:rPr>
          <w:sz w:val="24"/>
        </w:rPr>
        <w:t xml:space="preserve"> five percent deadband will apply to loads of 200 MW or greater.  The penalty will be </w:t>
      </w:r>
      <w:r>
        <w:rPr>
          <w:sz w:val="24"/>
          <w:lang w:eastAsia="en-US"/>
        </w:rPr>
        <w:t>two times the cost of energy not to exceed $100/MWH with</w:t>
      </w:r>
      <w:r>
        <w:rPr>
          <w:sz w:val="24"/>
        </w:rPr>
        <w:t xml:space="preserve"> r</w:t>
      </w:r>
      <w:r>
        <w:rPr>
          <w:sz w:val="24"/>
          <w:lang w:eastAsia="en-US"/>
        </w:rPr>
        <w:t xml:space="preserve">evenues from the penalty to be disbursed to loads that scheduled accurately.  </w:t>
      </w:r>
      <w:r>
        <w:rPr>
          <w:sz w:val="24"/>
        </w:rPr>
        <w:t xml:space="preserve">Small entities with scheduling deviations of 10 MW or less will not be assessed a penalty and will be considered as having scheduled accurately for penalty revenue distribution.   </w:t>
      </w:r>
    </w:p>
    <w:p>
      <w:pPr>
        <w:pStyle w:val="Normal"/>
        <w:numPr>
          <w:ilvl w:val="0"/>
          <w:numId w:val="6"/>
        </w:numPr>
        <w:tabs>
          <w:tab w:val="left" w:pos="720" w:leader="none"/>
        </w:tabs>
        <w:ind w:hanging="360" w:start="720" w:end="0"/>
        <w:rPr>
          <w:sz w:val="24"/>
        </w:rPr>
      </w:pPr>
      <w:r>
        <w:rPr>
          <w:sz w:val="24"/>
        </w:rPr>
        <w:t>FERC did not impose a penalty on generation for underscheduling.  However, it limited suppliers who participate in the real-time market to either a capacity payment for replacement reserves and real-time energy payments, but not both. Once the system balances better, FERC expects an imbalance trading program will be implemented.</w:t>
      </w:r>
    </w:p>
    <w:p>
      <w:pPr>
        <w:pStyle w:val="Normal"/>
        <w:numPr>
          <w:ilvl w:val="0"/>
          <w:numId w:val="8"/>
        </w:numPr>
        <w:rPr>
          <w:b/>
          <w:sz w:val="24"/>
          <w:lang w:eastAsia="en-US"/>
        </w:rPr>
      </w:pPr>
      <w:r>
        <w:rPr>
          <w:b/>
          <w:sz w:val="24"/>
          <w:lang w:eastAsia="en-US"/>
        </w:rPr>
        <w:t xml:space="preserve">Market Monitoring and Price Mitigation for ISO and PX Spot Markets – </w:t>
      </w:r>
    </w:p>
    <w:p>
      <w:pPr>
        <w:pStyle w:val="Normal"/>
        <w:numPr>
          <w:ilvl w:val="0"/>
          <w:numId w:val="15"/>
        </w:numPr>
        <w:tabs>
          <w:tab w:val="left" w:pos="720" w:leader="none"/>
        </w:tabs>
        <w:ind w:hanging="360" w:start="720" w:end="0"/>
        <w:rPr>
          <w:rFonts w:ascii="TimesNewRoman" w:hAnsi="TimesNewRoman" w:cs="TimesNewRoman"/>
          <w:sz w:val="26"/>
          <w:lang w:eastAsia="en-US"/>
        </w:rPr>
      </w:pPr>
      <w:r>
        <w:rPr>
          <w:sz w:val="24"/>
          <w:lang w:eastAsia="en-US"/>
        </w:rPr>
        <w:t xml:space="preserve">FERC anticipates that the above remedies will shrink the ISO's real-time market to approximately 5 percent of load.  In other words, only about 2,000 MWs (instead of 6,000 MWs) will be purchased in the real-time markets. </w:t>
      </w:r>
    </w:p>
    <w:p>
      <w:pPr>
        <w:pStyle w:val="Normal"/>
        <w:numPr>
          <w:ilvl w:val="0"/>
          <w:numId w:val="15"/>
        </w:numPr>
        <w:tabs>
          <w:tab w:val="left" w:pos="720" w:leader="none"/>
        </w:tabs>
        <w:ind w:hanging="360" w:start="720" w:end="0"/>
        <w:rPr>
          <w:sz w:val="24"/>
          <w:lang w:eastAsia="en-US"/>
        </w:rPr>
      </w:pPr>
      <w:r>
        <w:rPr>
          <w:sz w:val="24"/>
          <w:lang w:eastAsia="en-US"/>
        </w:rPr>
        <w:t xml:space="preserve">The Commission will provide the following market monitoring and price mitigation effective as of January 1, 2001 and ending May 1. </w:t>
      </w:r>
      <w:r>
        <w:rPr>
          <w:rStyle w:val="FootnoteCharacters"/>
          <w:rStyle w:val="FootnoteReference"/>
          <w:sz w:val="24"/>
          <w:lang w:eastAsia="en-US"/>
        </w:rPr>
        <w:footnoteReference w:id="5"/>
      </w:r>
      <w:r>
        <w:rPr>
          <w:sz w:val="24"/>
          <w:lang w:eastAsia="en-US"/>
        </w:rPr>
        <w:t xml:space="preserve">  The current $250 price cap will continue until January 1.</w:t>
      </w:r>
      <w:r>
        <w:rPr>
          <w:rStyle w:val="FootnoteCharacters"/>
          <w:rStyle w:val="FootnoteReference"/>
          <w:sz w:val="24"/>
          <w:lang w:eastAsia="en-US"/>
        </w:rPr>
        <w:footnoteReference w:id="6"/>
      </w:r>
    </w:p>
    <w:p>
      <w:pPr>
        <w:pStyle w:val="Normal"/>
        <w:numPr>
          <w:ilvl w:val="0"/>
          <w:numId w:val="2"/>
        </w:numPr>
        <w:tabs>
          <w:tab w:val="clear" w:pos="720"/>
          <w:tab w:val="left" w:pos="1440" w:leader="none"/>
        </w:tabs>
        <w:ind w:hanging="360" w:start="1440" w:end="0"/>
        <w:rPr/>
      </w:pPr>
      <w:r>
        <w:rPr>
          <w:b/>
          <w:sz w:val="24"/>
        </w:rPr>
        <w:t>Soft Price caps</w:t>
      </w:r>
      <w:r>
        <w:rPr>
          <w:sz w:val="24"/>
        </w:rPr>
        <w:t xml:space="preserve"> - FERC continued the single price auction at or under $150.  If more power is needed than is bid at or under $150, the ISO may accept bids over $150 on an “as bid” basis.</w:t>
      </w:r>
    </w:p>
    <w:p>
      <w:pPr>
        <w:pStyle w:val="Normal"/>
        <w:numPr>
          <w:ilvl w:val="0"/>
          <w:numId w:val="2"/>
        </w:numPr>
        <w:tabs>
          <w:tab w:val="clear" w:pos="720"/>
          <w:tab w:val="left" w:pos="1440" w:leader="none"/>
        </w:tabs>
        <w:ind w:hanging="360" w:start="1440" w:end="0"/>
        <w:rPr/>
      </w:pPr>
      <w:r>
        <w:rPr>
          <w:b/>
          <w:sz w:val="24"/>
          <w:lang w:eastAsia="en-US"/>
        </w:rPr>
        <w:t>FERC Monitoring</w:t>
      </w:r>
      <w:r>
        <w:rPr>
          <w:sz w:val="24"/>
          <w:lang w:eastAsia="en-US"/>
        </w:rPr>
        <w:t xml:space="preserve"> - Sales above $150 must be reported to FERC for review.</w:t>
      </w:r>
      <w:r>
        <w:rPr>
          <w:rStyle w:val="FootnoteCharacters"/>
          <w:rStyle w:val="FootnoteReference"/>
          <w:sz w:val="24"/>
          <w:lang w:eastAsia="en-US"/>
        </w:rPr>
        <w:footnoteReference w:id="7"/>
      </w:r>
      <w:r>
        <w:rPr>
          <w:sz w:val="24"/>
          <w:lang w:eastAsia="en-US"/>
        </w:rPr>
        <w:t xml:space="preserve">   FERC will rely on several indicators of potential market power, including: the outage rates of the seller’s resources, the failure to bid unsold MWs into the ISO’s real-time market, and variations in bidding patterns for the same or similar resources (e.g. bidding large blocks of capacity at a low price and a small amount of capacity at a high price).</w:t>
      </w:r>
    </w:p>
    <w:p>
      <w:pPr>
        <w:pStyle w:val="Normal"/>
        <w:numPr>
          <w:ilvl w:val="0"/>
          <w:numId w:val="2"/>
        </w:numPr>
        <w:tabs>
          <w:tab w:val="clear" w:pos="720"/>
          <w:tab w:val="left" w:pos="1440" w:leader="none"/>
        </w:tabs>
        <w:ind w:hanging="360" w:start="1440" w:end="0"/>
        <w:rPr>
          <w:sz w:val="24"/>
        </w:rPr>
      </w:pPr>
      <w:r>
        <w:rPr>
          <w:b/>
          <w:sz w:val="24"/>
          <w:lang w:eastAsia="en-US"/>
        </w:rPr>
        <w:t>Refunds</w:t>
      </w:r>
      <w:r>
        <w:rPr>
          <w:sz w:val="24"/>
          <w:lang w:eastAsia="en-US"/>
        </w:rPr>
        <w:t xml:space="preserve"> - During this period, refund conditions will continue to apply.  However, unless FERC Commission or staff notifies (via a data request, order, or other written notice) a seller that its transaction is still under review, refund potential on a transaction will close after 60 days.  If notification is received, refund liability will continue until the review is terminated and a final FERC order or staff letter is issued.</w:t>
      </w:r>
      <w:r>
        <w:rPr>
          <w:rStyle w:val="FootnoteCharacters"/>
          <w:rStyle w:val="FootnoteReference"/>
          <w:sz w:val="24"/>
          <w:lang w:eastAsia="en-US"/>
        </w:rPr>
        <w:footnoteReference w:id="8"/>
      </w:r>
    </w:p>
    <w:p>
      <w:pPr>
        <w:pStyle w:val="Normal"/>
        <w:numPr>
          <w:ilvl w:val="0"/>
          <w:numId w:val="2"/>
        </w:numPr>
        <w:tabs>
          <w:tab w:val="clear" w:pos="720"/>
          <w:tab w:val="left" w:pos="1440" w:leader="none"/>
        </w:tabs>
        <w:ind w:hanging="360" w:start="1440" w:end="0"/>
        <w:rPr>
          <w:sz w:val="24"/>
          <w:lang w:eastAsia="en-US"/>
        </w:rPr>
      </w:pPr>
      <w:r>
        <w:rPr>
          <w:b/>
          <w:sz w:val="24"/>
        </w:rPr>
        <w:t>Longer term monitoring</w:t>
      </w:r>
      <w:r>
        <w:rPr>
          <w:sz w:val="24"/>
        </w:rPr>
        <w:t xml:space="preserve"> – Directed Staff to</w:t>
      </w:r>
      <w:r>
        <w:rPr>
          <w:b/>
          <w:sz w:val="24"/>
        </w:rPr>
        <w:t xml:space="preserve"> </w:t>
      </w:r>
    </w:p>
    <w:p>
      <w:pPr>
        <w:pStyle w:val="Normal"/>
        <w:numPr>
          <w:ilvl w:val="0"/>
          <w:numId w:val="2"/>
        </w:numPr>
        <w:tabs>
          <w:tab w:val="clear" w:pos="720"/>
          <w:tab w:val="left" w:pos="1800" w:leader="none"/>
        </w:tabs>
        <w:ind w:hanging="360" w:start="1800" w:end="0"/>
        <w:rPr>
          <w:sz w:val="24"/>
          <w:lang w:eastAsia="en-US"/>
        </w:rPr>
      </w:pPr>
      <w:r>
        <w:rPr>
          <w:sz w:val="24"/>
        </w:rPr>
        <w:t>convene</w:t>
      </w:r>
      <w:r>
        <w:rPr>
          <w:b/>
          <w:sz w:val="24"/>
        </w:rPr>
        <w:t xml:space="preserve"> </w:t>
      </w:r>
      <w:r>
        <w:rPr>
          <w:sz w:val="24"/>
        </w:rPr>
        <w:t>a technical conference no later than January 25, 2001 to discuss a comprehensive monitoring and mitigation measure to replace the price cap which incorporates “appropriate thresholds and screens and specific mitigation measures if those thresholds and screens are breached.”</w:t>
      </w:r>
    </w:p>
    <w:p>
      <w:pPr>
        <w:pStyle w:val="Normal"/>
        <w:numPr>
          <w:ilvl w:val="0"/>
          <w:numId w:val="2"/>
        </w:numPr>
        <w:tabs>
          <w:tab w:val="clear" w:pos="720"/>
          <w:tab w:val="left" w:pos="1800" w:leader="none"/>
        </w:tabs>
        <w:ind w:hanging="360" w:start="1800" w:end="0"/>
        <w:rPr>
          <w:sz w:val="24"/>
          <w:lang w:eastAsia="en-US"/>
        </w:rPr>
      </w:pPr>
      <w:r>
        <w:rPr>
          <w:sz w:val="24"/>
        </w:rPr>
        <w:t xml:space="preserve">Submit a proposed plan no later than March 1, 2001, so that it can be reviewed, modified and implemented by May 1, 2001.  </w:t>
      </w:r>
    </w:p>
    <w:p>
      <w:pPr>
        <w:pStyle w:val="Heading1"/>
        <w:ind w:hanging="0" w:start="0"/>
        <w:rPr/>
      </w:pPr>
      <w:r>
        <w:rPr/>
        <w:t xml:space="preserve">Independent ISO Board – </w:t>
      </w:r>
    </w:p>
    <w:p>
      <w:pPr>
        <w:pStyle w:val="Normal"/>
        <w:numPr>
          <w:ilvl w:val="0"/>
          <w:numId w:val="11"/>
        </w:numPr>
        <w:rPr>
          <w:sz w:val="24"/>
        </w:rPr>
      </w:pPr>
      <w:r>
        <w:rPr>
          <w:sz w:val="24"/>
        </w:rPr>
        <w:t>FERC required the current Board to be replaced by a non-stakeholder Board with members independent of market participants.  It declared the ISO’s bylaws null and void effective January 29,2001</w:t>
      </w:r>
    </w:p>
    <w:p>
      <w:pPr>
        <w:pStyle w:val="Normal"/>
        <w:numPr>
          <w:ilvl w:val="0"/>
          <w:numId w:val="11"/>
        </w:numPr>
        <w:rPr>
          <w:sz w:val="24"/>
        </w:rPr>
      </w:pPr>
      <w:r>
        <w:rPr>
          <w:sz w:val="24"/>
        </w:rPr>
        <w:t xml:space="preserve">On January 29, 2001, the Board must turn over decision-making and control to the ISO’s management </w:t>
      </w:r>
    </w:p>
    <w:p>
      <w:pPr>
        <w:pStyle w:val="Normal"/>
        <w:numPr>
          <w:ilvl w:val="0"/>
          <w:numId w:val="11"/>
        </w:numPr>
        <w:rPr>
          <w:sz w:val="24"/>
        </w:rPr>
      </w:pPr>
      <w:r>
        <w:rPr>
          <w:sz w:val="24"/>
        </w:rPr>
        <w:t>However, the existing Board will be allowed to act as an advisory committee to the ISO management until a new board is seated or until April 27, 2001, whichever is sooner.  The committee’s role will be to apprise ISO management of their respective stakeholder views on particular issues limited to suggestions on operations, policies and procedures, and providing other recommendations or information as requested by ISO management.  Standing committees will continue to function by reporting to ISO management.</w:t>
      </w:r>
    </w:p>
    <w:p>
      <w:pPr>
        <w:pStyle w:val="Normal"/>
        <w:numPr>
          <w:ilvl w:val="0"/>
          <w:numId w:val="11"/>
        </w:numPr>
        <w:rPr>
          <w:sz w:val="24"/>
        </w:rPr>
      </w:pPr>
      <w:r>
        <w:rPr>
          <w:sz w:val="24"/>
        </w:rPr>
        <w:t>The Commission will review whether the ISO’s RTO filing meets the FERC’s Order No. 2000 independence requirements.</w:t>
      </w:r>
    </w:p>
    <w:p>
      <w:pPr>
        <w:pStyle w:val="Normal"/>
        <w:numPr>
          <w:ilvl w:val="0"/>
          <w:numId w:val="11"/>
        </w:numPr>
        <w:rPr>
          <w:sz w:val="24"/>
        </w:rPr>
      </w:pPr>
      <w:r>
        <w:rPr>
          <w:sz w:val="24"/>
        </w:rPr>
        <w:t>In a subsequent order, FERC will establish on-the-record procedures to discuss with state representatives the process for selection of ISO Board members. While it found that State selection of all board members is not reasonable, it found that the state may have an appropriate role in Board selection as long as the independence of the board can be assured (e.g., candidates limited to the slate provided by an independent consultant.)  As the FERC is terminating the PX’s tariff there is no need to replace the PX’s Board.</w:t>
      </w:r>
    </w:p>
    <w:p>
      <w:pPr>
        <w:pStyle w:val="Normal"/>
        <w:rPr/>
      </w:pPr>
      <w:r>
        <w:rPr>
          <w:b/>
          <w:sz w:val="24"/>
        </w:rPr>
        <w:t>Generation outages</w:t>
      </w:r>
      <w:r>
        <w:rPr>
          <w:sz w:val="24"/>
        </w:rPr>
        <w:t xml:space="preserve"> - FERC directed its staff to perform inspections of generation outages.</w:t>
      </w:r>
    </w:p>
    <w:p>
      <w:pPr>
        <w:pStyle w:val="Normal"/>
        <w:rPr/>
      </w:pPr>
      <w:r>
        <w:rPr>
          <w:b/>
          <w:sz w:val="24"/>
        </w:rPr>
        <w:t xml:space="preserve">Interconnection Procedures - </w:t>
      </w:r>
      <w:r>
        <w:rPr>
          <w:sz w:val="24"/>
        </w:rPr>
        <w:t>FERC directed the ISO, no later than April 2, 2001, to file standard interconnection procedures (IPs) to facilitate interconnection of new and expanded existing generation.  It clarified that this proposal must follow FERC’s precedent in this area.  It directed the ISO to file streamlined IPs for small generators.  It also required the IOUs to file IPs no later than April 2, 2001.</w:t>
      </w:r>
    </w:p>
    <w:p>
      <w:pPr>
        <w:pStyle w:val="BodyText"/>
        <w:rPr/>
      </w:pPr>
      <w:r>
        <w:rPr>
          <w:b/>
        </w:rPr>
        <w:t>Refunds and Retroactive Remedial Authority</w:t>
      </w:r>
      <w:r>
        <w:rPr/>
        <w:t xml:space="preserve"> - FERC does not address retroactive refunds and retroactive remedial authority.  However it does clarify its findings about the justness and reasonableness of rates as follows: </w:t>
      </w:r>
    </w:p>
    <w:p>
      <w:pPr>
        <w:pStyle w:val="Normal"/>
        <w:rPr>
          <w:sz w:val="24"/>
        </w:rPr>
      </w:pPr>
      <w:r>
        <w:rPr>
          <w:sz w:val="24"/>
        </w:rPr>
      </w:r>
    </w:p>
    <w:p>
      <w:pPr>
        <w:pStyle w:val="BlockText"/>
        <w:rPr/>
      </w:pPr>
      <w:r>
        <w:rPr/>
        <w:t>As an initial matter, we note that the November 1 Order did not find that all rates, at all times, were unjust and unreasonable in these spot markets. Nor did we make findings about whether particular rates charged by specific sellers during the summer of 2000 were unjust and unreasonable or that any individual sellers exercised or abused market power. Further, although the record has now been supplemented with additional information and evidence, nothing has been presented that would cause us to change the findings in the November 1 Order or that would permit us to further refine the findings that were made.</w:t>
      </w:r>
    </w:p>
    <w:p>
      <w:pPr>
        <w:pStyle w:val="Normal"/>
        <w:ind w:end="720"/>
        <w:rPr>
          <w:sz w:val="24"/>
          <w:lang w:eastAsia="en-US"/>
        </w:rPr>
      </w:pPr>
      <w:r>
        <w:rPr>
          <w:sz w:val="24"/>
          <w:lang w:eastAsia="en-US"/>
        </w:rPr>
      </w:r>
    </w:p>
    <w:p>
      <w:pPr>
        <w:pStyle w:val="Normal"/>
        <w:ind w:start="720" w:end="864"/>
        <w:rPr/>
      </w:pPr>
      <w:r>
        <w:rPr>
          <w:sz w:val="24"/>
          <w:lang w:eastAsia="en-US"/>
        </w:rPr>
        <w:t xml:space="preserve">We have been faced in this case with the difficult question of what makes a market-based rate unjust and unreasonable. There is no precise legal formulation for setting a just and reasonable rate and no precise bright line for when a rate becomes unjust and unreasonable. Under long-standing Supreme Court case law, rates must fall within a zone of reasonableness where the rates are neither so low as to be "less than compensatory" nor so high as to be "excessive" to consumers. While high prices in and of themselves do not make a rate unjust and unreasonable (because, for instance, underlying production prices may be high), if over time rates do not behave as expected in a competitive market, the Commission must step in to correct the situation. </w:t>
      </w:r>
      <w:r>
        <w:rPr>
          <w:b/>
          <w:sz w:val="24"/>
          <w:lang w:eastAsia="en-US"/>
        </w:rPr>
        <w:t xml:space="preserve"> </w:t>
      </w:r>
      <w:r>
        <w:rPr>
          <w:sz w:val="24"/>
          <w:lang w:eastAsia="en-US"/>
        </w:rPr>
        <w:t>Further, while exercises of market power may cause a rate to be unjust and unreasonable, in the circumstances here, independent of any conclusive showing of a specific abuse of market power, a variety of factors have converged to drastically skew wholesale prices under certain conditions: significant over-reliance on spot markets which by their very nature can produce dramatic price increases when supply is tight; significant increases in load combined with lack of new facilities as well as reduced availability of supply from out of state; chronic underscheduling; and lack of demand responsiveness to price. There is not sufficient evidence on this record to find that particular sellers have exercised market power or that they have violated Commission-approved market rules. Moreover, going forward, we have no assurance that rates will not be excessive relative to the benchmarks of producer costs or competitive market prices, due to the circumstances listed above. Therefore, we reaffirm our findings that unjust and unreasonable rates were charged and could continue to be charged unless remedies are implemented.</w:t>
      </w:r>
    </w:p>
    <w:p>
      <w:pPr>
        <w:pStyle w:val="Normal"/>
        <w:ind w:start="720" w:end="864"/>
        <w:rPr>
          <w:sz w:val="24"/>
          <w:lang w:eastAsia="en-US"/>
        </w:rPr>
      </w:pPr>
      <w:r>
        <w:rPr>
          <w:sz w:val="24"/>
          <w:lang w:eastAsia="en-US"/>
        </w:rPr>
      </w:r>
    </w:p>
    <w:p>
      <w:pPr>
        <w:pStyle w:val="Heading1"/>
        <w:ind w:hanging="0" w:start="0"/>
        <w:rPr>
          <w:lang w:eastAsia="en-US"/>
        </w:rPr>
      </w:pPr>
      <w:r>
        <w:rPr>
          <w:lang w:eastAsia="en-US"/>
        </w:rPr>
        <w:t xml:space="preserve">Other Long Term Reforms </w:t>
      </w:r>
    </w:p>
    <w:p>
      <w:pPr>
        <w:pStyle w:val="Normal"/>
        <w:numPr>
          <w:ilvl w:val="0"/>
          <w:numId w:val="17"/>
        </w:numPr>
        <w:rPr>
          <w:sz w:val="24"/>
        </w:rPr>
      </w:pPr>
      <w:r>
        <w:rPr>
          <w:sz w:val="24"/>
          <w:lang w:eastAsia="en-US"/>
        </w:rPr>
        <w:t xml:space="preserve">FERC declined to prescribe additional long-term market reforms at this time, but established a forum for their resolution. It directed staff to convene a technical conference to explore the best long-term measures to address California's wholesale markets.  </w:t>
      </w:r>
    </w:p>
    <w:p>
      <w:pPr>
        <w:pStyle w:val="Normal"/>
        <w:numPr>
          <w:ilvl w:val="0"/>
          <w:numId w:val="17"/>
        </w:numPr>
        <w:rPr>
          <w:sz w:val="24"/>
        </w:rPr>
      </w:pPr>
      <w:r>
        <w:rPr>
          <w:sz w:val="24"/>
          <w:lang w:eastAsia="en-US"/>
        </w:rPr>
        <w:t>Issues to be discussed: (1) the adoption of security-constrained unit commitment dispatch; (2) the use of simultaneous rather than sequential auctions; (3) the creation of an installed capacity market; (4) the establishment of reserve requirements; and (5) demand-side response programs. FERC will issue a subsequent order on these matters.</w:t>
      </w:r>
    </w:p>
    <w:p>
      <w:pPr>
        <w:pStyle w:val="Normal"/>
        <w:rPr/>
      </w:pPr>
      <w:r>
        <w:rPr>
          <w:b/>
          <w:sz w:val="24"/>
        </w:rPr>
        <w:t xml:space="preserve">Siting and demand response – </w:t>
      </w:r>
      <w:r>
        <w:rPr>
          <w:sz w:val="24"/>
        </w:rPr>
        <w:t>FERC notes that critical long-term reforms such as siting and demand response must be addressed immediately by relevant State authorities.</w:t>
      </w:r>
    </w:p>
    <w:p>
      <w:pPr>
        <w:pStyle w:val="Normal"/>
        <w:rPr/>
      </w:pPr>
      <w:r>
        <w:rPr>
          <w:b/>
          <w:sz w:val="24"/>
        </w:rPr>
        <w:t xml:space="preserve">FERC’s Ex Parte Rules - </w:t>
      </w:r>
      <w:r>
        <w:rPr>
          <w:sz w:val="24"/>
        </w:rPr>
        <w:t>FERC exempted any party who is not a party to the case from the FERC’s ex parte rules and moved into its decisional record all documents from such non-parties.</w:t>
      </w:r>
    </w:p>
    <w:p>
      <w:pPr>
        <w:pStyle w:val="Normal"/>
        <w:rPr/>
      </w:pPr>
      <w:r>
        <w:rPr>
          <w:b/>
          <w:sz w:val="24"/>
        </w:rPr>
        <w:t xml:space="preserve">Congestion Management - </w:t>
      </w:r>
      <w:r>
        <w:rPr>
          <w:sz w:val="24"/>
        </w:rPr>
        <w:t>FERC directed the ISO to file its congestion management process no later than January 31, 2001.</w:t>
      </w:r>
    </w:p>
    <w:p>
      <w:pPr>
        <w:pStyle w:val="Normal"/>
        <w:rPr/>
      </w:pPr>
      <w:r>
        <w:rPr>
          <w:b/>
          <w:sz w:val="24"/>
        </w:rPr>
        <w:t>Qualifying Facilities</w:t>
      </w:r>
      <w:r>
        <w:rPr>
          <w:sz w:val="24"/>
        </w:rPr>
        <w:t xml:space="preserve"> - The Commission extended until April 30, 2001 its waiver of certain of its regulations of QFs.</w:t>
      </w:r>
    </w:p>
    <w:p>
      <w:pPr>
        <w:pStyle w:val="Normal"/>
        <w:rPr>
          <w:sz w:val="24"/>
        </w:rPr>
      </w:pPr>
      <w:r>
        <w:rPr>
          <w:sz w:val="24"/>
        </w:rPr>
      </w:r>
    </w:p>
    <w:p>
      <w:pPr>
        <w:pStyle w:val="Normal"/>
        <w:rPr>
          <w:sz w:val="24"/>
        </w:rPr>
      </w:pPr>
      <w:r>
        <w:rPr>
          <w:sz w:val="24"/>
        </w:rPr>
      </w:r>
    </w:p>
    <w:p>
      <w:pPr>
        <w:pStyle w:val="Heading1"/>
        <w:ind w:hanging="0" w:start="0"/>
        <w:jc w:val="center"/>
        <w:rPr/>
      </w:pPr>
      <w:r>
        <w:rPr/>
        <w:t>Other Dockets Addressed in the FERC’s Order</w:t>
      </w:r>
    </w:p>
    <w:p>
      <w:pPr>
        <w:pStyle w:val="Normal"/>
        <w:rPr/>
      </w:pPr>
      <w:r>
        <w:rPr/>
      </w:r>
    </w:p>
    <w:p>
      <w:pPr>
        <w:pStyle w:val="Normal"/>
        <w:numPr>
          <w:ilvl w:val="0"/>
          <w:numId w:val="12"/>
        </w:numPr>
        <w:rPr>
          <w:sz w:val="24"/>
        </w:rPr>
      </w:pPr>
      <w:r>
        <w:rPr>
          <w:sz w:val="24"/>
        </w:rPr>
        <w:t xml:space="preserve">Reliant, Dynegy, and Southern Complaint against ISO export curtailments – </w:t>
      </w:r>
    </w:p>
    <w:p>
      <w:pPr>
        <w:pStyle w:val="Normal"/>
        <w:numPr>
          <w:ilvl w:val="0"/>
          <w:numId w:val="12"/>
        </w:numPr>
        <w:tabs>
          <w:tab w:val="left" w:pos="720" w:leader="none"/>
        </w:tabs>
        <w:ind w:hanging="360" w:start="720" w:end="0"/>
        <w:rPr>
          <w:sz w:val="24"/>
        </w:rPr>
      </w:pPr>
      <w:r>
        <w:rPr>
          <w:sz w:val="24"/>
        </w:rPr>
        <w:t xml:space="preserve">Asked that ISO be required actual damages and lost opportunity costs and that requests to cap these payments would violate the FERC’s </w:t>
      </w:r>
      <w:r>
        <w:rPr>
          <w:i/>
          <w:sz w:val="24"/>
        </w:rPr>
        <w:t>Morgan Stanley</w:t>
      </w:r>
      <w:r>
        <w:rPr>
          <w:sz w:val="24"/>
        </w:rPr>
        <w:t xml:space="preserve"> decision.  </w:t>
      </w:r>
    </w:p>
    <w:p>
      <w:pPr>
        <w:pStyle w:val="Normal"/>
        <w:numPr>
          <w:ilvl w:val="0"/>
          <w:numId w:val="12"/>
        </w:numPr>
        <w:tabs>
          <w:tab w:val="left" w:pos="720" w:leader="none"/>
        </w:tabs>
        <w:ind w:hanging="360" w:start="720" w:end="0"/>
        <w:rPr>
          <w:sz w:val="24"/>
        </w:rPr>
      </w:pPr>
      <w:r>
        <w:rPr>
          <w:sz w:val="24"/>
        </w:rPr>
        <w:t>FERC rejected this complaint.</w:t>
      </w:r>
    </w:p>
    <w:p>
      <w:pPr>
        <w:pStyle w:val="Normal"/>
        <w:numPr>
          <w:ilvl w:val="0"/>
          <w:numId w:val="12"/>
        </w:numPr>
        <w:rPr>
          <w:sz w:val="24"/>
        </w:rPr>
      </w:pPr>
      <w:r>
        <w:rPr>
          <w:sz w:val="24"/>
        </w:rPr>
        <w:t xml:space="preserve">California Oversight Board’s Complaint – </w:t>
      </w:r>
    </w:p>
    <w:p>
      <w:pPr>
        <w:pStyle w:val="Normal"/>
        <w:numPr>
          <w:ilvl w:val="0"/>
          <w:numId w:val="12"/>
        </w:numPr>
        <w:tabs>
          <w:tab w:val="left" w:pos="720" w:leader="none"/>
        </w:tabs>
        <w:ind w:hanging="360" w:start="720" w:end="0"/>
        <w:rPr>
          <w:sz w:val="24"/>
        </w:rPr>
      </w:pPr>
      <w:r>
        <w:rPr>
          <w:sz w:val="24"/>
        </w:rPr>
        <w:t xml:space="preserve">Asked FERC to cap bids at no greater than $250 </w:t>
      </w:r>
    </w:p>
    <w:p>
      <w:pPr>
        <w:pStyle w:val="Normal"/>
        <w:numPr>
          <w:ilvl w:val="0"/>
          <w:numId w:val="12"/>
        </w:numPr>
        <w:tabs>
          <w:tab w:val="left" w:pos="720" w:leader="none"/>
        </w:tabs>
        <w:ind w:hanging="360" w:start="720" w:end="0"/>
        <w:rPr>
          <w:sz w:val="24"/>
        </w:rPr>
      </w:pPr>
      <w:r>
        <w:rPr>
          <w:sz w:val="24"/>
        </w:rPr>
        <w:t>FERC rejected this request</w:t>
      </w:r>
    </w:p>
    <w:p>
      <w:pPr>
        <w:pStyle w:val="Normal"/>
        <w:numPr>
          <w:ilvl w:val="0"/>
          <w:numId w:val="12"/>
        </w:numPr>
        <w:rPr>
          <w:sz w:val="24"/>
        </w:rPr>
      </w:pPr>
      <w:r>
        <w:rPr>
          <w:sz w:val="24"/>
        </w:rPr>
        <w:t xml:space="preserve">California Municipal Utilities Association’s complaint </w:t>
      </w:r>
    </w:p>
    <w:p>
      <w:pPr>
        <w:pStyle w:val="Normal"/>
        <w:numPr>
          <w:ilvl w:val="0"/>
          <w:numId w:val="12"/>
        </w:numPr>
        <w:tabs>
          <w:tab w:val="left" w:pos="720" w:leader="none"/>
        </w:tabs>
        <w:ind w:hanging="360" w:start="720" w:end="0"/>
        <w:rPr>
          <w:sz w:val="24"/>
        </w:rPr>
      </w:pPr>
      <w:r>
        <w:rPr>
          <w:sz w:val="24"/>
        </w:rPr>
        <w:t>Requested cost based rates on all FERC jurisdictional sellers into the PX and ISO</w:t>
      </w:r>
    </w:p>
    <w:p>
      <w:pPr>
        <w:pStyle w:val="Normal"/>
        <w:numPr>
          <w:ilvl w:val="0"/>
          <w:numId w:val="12"/>
        </w:numPr>
        <w:tabs>
          <w:tab w:val="left" w:pos="720" w:leader="none"/>
        </w:tabs>
        <w:ind w:hanging="360" w:start="720" w:end="0"/>
        <w:rPr>
          <w:sz w:val="24"/>
        </w:rPr>
      </w:pPr>
      <w:r>
        <w:rPr>
          <w:sz w:val="24"/>
        </w:rPr>
        <w:t>FERC rejected this request.</w:t>
      </w:r>
    </w:p>
    <w:p>
      <w:pPr>
        <w:pStyle w:val="Normal"/>
        <w:numPr>
          <w:ilvl w:val="0"/>
          <w:numId w:val="12"/>
        </w:numPr>
        <w:rPr>
          <w:sz w:val="24"/>
        </w:rPr>
      </w:pPr>
      <w:r>
        <w:rPr>
          <w:sz w:val="24"/>
        </w:rPr>
        <w:t>Californians for Renewable Energy petition asked FERC to</w:t>
      </w:r>
    </w:p>
    <w:p>
      <w:pPr>
        <w:pStyle w:val="Normal"/>
        <w:numPr>
          <w:ilvl w:val="0"/>
          <w:numId w:val="12"/>
        </w:numPr>
        <w:tabs>
          <w:tab w:val="left" w:pos="720" w:leader="none"/>
        </w:tabs>
        <w:ind w:hanging="360" w:start="720" w:end="0"/>
        <w:rPr>
          <w:sz w:val="24"/>
        </w:rPr>
      </w:pPr>
      <w:r>
        <w:rPr>
          <w:sz w:val="24"/>
        </w:rPr>
        <w:t>Rectify unjust and unreasonable prices in the PX and ISO markets</w:t>
      </w:r>
    </w:p>
    <w:p>
      <w:pPr>
        <w:pStyle w:val="Normal"/>
        <w:numPr>
          <w:ilvl w:val="0"/>
          <w:numId w:val="12"/>
        </w:numPr>
        <w:tabs>
          <w:tab w:val="left" w:pos="720" w:leader="none"/>
        </w:tabs>
        <w:ind w:hanging="360" w:start="720" w:end="0"/>
        <w:rPr>
          <w:sz w:val="24"/>
        </w:rPr>
      </w:pPr>
      <w:r>
        <w:rPr>
          <w:sz w:val="24"/>
        </w:rPr>
        <w:t>Find that the wholesale market is not workably competitive</w:t>
      </w:r>
    </w:p>
    <w:p>
      <w:pPr>
        <w:pStyle w:val="Normal"/>
        <w:numPr>
          <w:ilvl w:val="0"/>
          <w:numId w:val="12"/>
        </w:numPr>
        <w:tabs>
          <w:tab w:val="left" w:pos="720" w:leader="none"/>
        </w:tabs>
        <w:ind w:hanging="360" w:start="720" w:end="0"/>
        <w:rPr>
          <w:sz w:val="24"/>
        </w:rPr>
      </w:pPr>
      <w:r>
        <w:rPr>
          <w:sz w:val="24"/>
        </w:rPr>
        <w:t>Find that the 6/14/00 rolling blackouts in San Francisco warrant investigation by the Department of Justice of antitrust activities and civil rights violations</w:t>
      </w:r>
    </w:p>
    <w:p>
      <w:pPr>
        <w:pStyle w:val="Normal"/>
        <w:numPr>
          <w:ilvl w:val="0"/>
          <w:numId w:val="12"/>
        </w:numPr>
        <w:tabs>
          <w:tab w:val="left" w:pos="720" w:leader="none"/>
        </w:tabs>
        <w:ind w:hanging="360" w:start="720" w:end="0"/>
        <w:rPr>
          <w:sz w:val="24"/>
        </w:rPr>
      </w:pPr>
      <w:r>
        <w:rPr>
          <w:sz w:val="24"/>
        </w:rPr>
        <w:t>Investigate injury, loss of life, disability, or hospitalization related to the rolling blackouts.</w:t>
      </w:r>
    </w:p>
    <w:p>
      <w:pPr>
        <w:pStyle w:val="Normal"/>
        <w:numPr>
          <w:ilvl w:val="0"/>
          <w:numId w:val="12"/>
        </w:numPr>
        <w:tabs>
          <w:tab w:val="left" w:pos="720" w:leader="none"/>
        </w:tabs>
        <w:ind w:hanging="360" w:start="720" w:end="0"/>
        <w:rPr>
          <w:sz w:val="24"/>
        </w:rPr>
      </w:pPr>
      <w:r>
        <w:rPr>
          <w:sz w:val="24"/>
        </w:rPr>
        <w:t xml:space="preserve">FERC denied </w:t>
      </w:r>
      <w:r>
        <w:rPr>
          <w:sz w:val="24"/>
          <w:lang w:eastAsia="en-US"/>
        </w:rPr>
        <w:t>CARE's petitions.  It found, CARE had failed to meet its burden of proof inasmuch as did not provide adequate evidence in support of its allegation of an ISO/generator trust, nor did it document a single instance of restraint of trade or civil rights violations.  It also found that, the matter of whether the alleged violations warrant the initiation of DOJ investigation is clearly not within the Commission's jurisdiction.</w:t>
      </w:r>
    </w:p>
    <w:p>
      <w:pPr>
        <w:pStyle w:val="Normal"/>
        <w:numPr>
          <w:ilvl w:val="0"/>
          <w:numId w:val="12"/>
        </w:numPr>
        <w:rPr>
          <w:sz w:val="24"/>
        </w:rPr>
      </w:pPr>
      <w:r>
        <w:rPr>
          <w:sz w:val="24"/>
        </w:rPr>
        <w:t xml:space="preserve">Puget Sound Energy’s Complaint </w:t>
      </w:r>
    </w:p>
    <w:p>
      <w:pPr>
        <w:pStyle w:val="Normal"/>
        <w:numPr>
          <w:ilvl w:val="0"/>
          <w:numId w:val="12"/>
        </w:numPr>
        <w:tabs>
          <w:tab w:val="left" w:pos="720" w:leader="none"/>
        </w:tabs>
        <w:ind w:hanging="360" w:start="720" w:end="0"/>
        <w:rPr>
          <w:sz w:val="24"/>
        </w:rPr>
      </w:pPr>
      <w:r>
        <w:rPr>
          <w:sz w:val="24"/>
        </w:rPr>
        <w:t xml:space="preserve">Asked for Pacific Northwest price cap at same level as PX or ISO.  </w:t>
      </w:r>
    </w:p>
    <w:p>
      <w:pPr>
        <w:pStyle w:val="Normal"/>
        <w:numPr>
          <w:ilvl w:val="0"/>
          <w:numId w:val="12"/>
        </w:numPr>
        <w:tabs>
          <w:tab w:val="left" w:pos="720" w:leader="none"/>
        </w:tabs>
        <w:ind w:hanging="360" w:start="720" w:end="0"/>
        <w:rPr>
          <w:sz w:val="24"/>
        </w:rPr>
      </w:pPr>
      <w:r>
        <w:rPr>
          <w:sz w:val="24"/>
        </w:rPr>
        <w:t>FERC rejected this complaint.</w:t>
      </w:r>
    </w:p>
    <w:p>
      <w:pPr>
        <w:pStyle w:val="Normal"/>
        <w:numPr>
          <w:ilvl w:val="0"/>
          <w:numId w:val="12"/>
        </w:numPr>
        <w:rPr>
          <w:sz w:val="24"/>
        </w:rPr>
      </w:pPr>
      <w:r>
        <w:rPr>
          <w:sz w:val="24"/>
        </w:rPr>
        <w:t xml:space="preserve">ISO “Offer of Settlement” – </w:t>
      </w:r>
    </w:p>
    <w:p>
      <w:pPr>
        <w:pStyle w:val="Normal"/>
        <w:numPr>
          <w:ilvl w:val="0"/>
          <w:numId w:val="12"/>
        </w:numPr>
        <w:tabs>
          <w:tab w:val="left" w:pos="720" w:leader="none"/>
        </w:tabs>
        <w:ind w:hanging="360" w:start="720" w:end="0"/>
        <w:rPr>
          <w:sz w:val="24"/>
        </w:rPr>
      </w:pPr>
      <w:r>
        <w:rPr>
          <w:sz w:val="24"/>
        </w:rPr>
        <w:t>Proposed complex system of caps, exemptions, and scheduling requirements.</w:t>
      </w:r>
    </w:p>
    <w:p>
      <w:pPr>
        <w:pStyle w:val="Normal"/>
        <w:numPr>
          <w:ilvl w:val="0"/>
          <w:numId w:val="12"/>
        </w:numPr>
        <w:tabs>
          <w:tab w:val="left" w:pos="720" w:leader="none"/>
        </w:tabs>
        <w:ind w:hanging="360" w:start="720" w:end="0"/>
        <w:rPr>
          <w:sz w:val="24"/>
        </w:rPr>
      </w:pPr>
      <w:r>
        <w:rPr>
          <w:sz w:val="24"/>
        </w:rPr>
        <w:t>FERC rejected this offer of settlement with respect to the price cap proposal.</w:t>
      </w:r>
    </w:p>
    <w:p>
      <w:pPr>
        <w:pStyle w:val="Normal"/>
        <w:numPr>
          <w:ilvl w:val="0"/>
          <w:numId w:val="12"/>
        </w:numPr>
        <w:rPr>
          <w:sz w:val="24"/>
        </w:rPr>
      </w:pPr>
      <w:r>
        <w:rPr>
          <w:sz w:val="24"/>
        </w:rPr>
        <w:t>ISO tariff amendment Number 30 – proposes to</w:t>
      </w:r>
    </w:p>
    <w:p>
      <w:pPr>
        <w:pStyle w:val="Normal"/>
        <w:numPr>
          <w:ilvl w:val="0"/>
          <w:numId w:val="12"/>
        </w:numPr>
        <w:tabs>
          <w:tab w:val="left" w:pos="720" w:leader="none"/>
        </w:tabs>
        <w:ind w:hanging="360" w:start="720" w:end="0"/>
        <w:rPr>
          <w:sz w:val="24"/>
        </w:rPr>
      </w:pPr>
      <w:r>
        <w:rPr>
          <w:sz w:val="24"/>
        </w:rPr>
        <w:t>clarify ISO’s authority to contract without first soliciting bids</w:t>
      </w:r>
    </w:p>
    <w:p>
      <w:pPr>
        <w:pStyle w:val="Normal"/>
        <w:numPr>
          <w:ilvl w:val="0"/>
          <w:numId w:val="12"/>
        </w:numPr>
        <w:tabs>
          <w:tab w:val="left" w:pos="720" w:leader="none"/>
        </w:tabs>
        <w:ind w:hanging="360" w:start="720" w:end="0"/>
        <w:rPr>
          <w:sz w:val="24"/>
        </w:rPr>
      </w:pPr>
      <w:r>
        <w:rPr>
          <w:sz w:val="24"/>
        </w:rPr>
        <w:t>to allocate the costs of any ISO forward contracts to those scheduling coordinators that deviate in real time from their schedules, in proportion to their deviation.</w:t>
      </w:r>
    </w:p>
    <w:p>
      <w:pPr>
        <w:pStyle w:val="Normal"/>
        <w:numPr>
          <w:ilvl w:val="0"/>
          <w:numId w:val="12"/>
        </w:numPr>
        <w:tabs>
          <w:tab w:val="left" w:pos="720" w:leader="none"/>
        </w:tabs>
        <w:ind w:hanging="360" w:start="720" w:end="0"/>
        <w:rPr>
          <w:sz w:val="24"/>
        </w:rPr>
      </w:pPr>
      <w:r>
        <w:rPr>
          <w:sz w:val="24"/>
        </w:rPr>
        <w:t>The FERC order accepted this tariff without modification.</w:t>
      </w:r>
    </w:p>
    <w:p>
      <w:pPr>
        <w:pStyle w:val="Normal"/>
        <w:numPr>
          <w:ilvl w:val="0"/>
          <w:numId w:val="12"/>
        </w:numPr>
        <w:rPr>
          <w:sz w:val="24"/>
        </w:rPr>
      </w:pPr>
      <w:r>
        <w:rPr>
          <w:sz w:val="24"/>
        </w:rPr>
        <w:t xml:space="preserve">CPUC Motion </w:t>
      </w:r>
    </w:p>
    <w:p>
      <w:pPr>
        <w:pStyle w:val="Normal"/>
        <w:numPr>
          <w:ilvl w:val="0"/>
          <w:numId w:val="12"/>
        </w:numPr>
        <w:tabs>
          <w:tab w:val="left" w:pos="720" w:leader="none"/>
        </w:tabs>
        <w:ind w:hanging="360" w:start="720" w:end="0"/>
        <w:rPr>
          <w:sz w:val="24"/>
        </w:rPr>
      </w:pPr>
      <w:r>
        <w:rPr>
          <w:sz w:val="24"/>
        </w:rPr>
        <w:t xml:space="preserve">Asked FERC to compel production of documents for this investigation and its own </w:t>
      </w:r>
    </w:p>
    <w:p>
      <w:pPr>
        <w:pStyle w:val="Normal"/>
        <w:numPr>
          <w:ilvl w:val="0"/>
          <w:numId w:val="12"/>
        </w:numPr>
        <w:tabs>
          <w:tab w:val="left" w:pos="720" w:leader="none"/>
        </w:tabs>
        <w:ind w:hanging="360" w:start="720" w:end="0"/>
        <w:rPr>
          <w:sz w:val="24"/>
        </w:rPr>
      </w:pPr>
      <w:r>
        <w:rPr>
          <w:sz w:val="24"/>
        </w:rPr>
        <w:t>the FERC stated that it was not acting on this motion at this time.</w:t>
      </w:r>
    </w:p>
    <w:p>
      <w:pPr>
        <w:pStyle w:val="Normal"/>
        <w:numPr>
          <w:ilvl w:val="0"/>
          <w:numId w:val="12"/>
        </w:numPr>
        <w:rPr>
          <w:sz w:val="24"/>
        </w:rPr>
      </w:pPr>
      <w:r>
        <w:rPr>
          <w:sz w:val="24"/>
        </w:rPr>
        <w:t>Governor Gray Davis –  Asked Commission to</w:t>
      </w:r>
    </w:p>
    <w:p>
      <w:pPr>
        <w:pStyle w:val="Normal"/>
        <w:numPr>
          <w:ilvl w:val="0"/>
          <w:numId w:val="12"/>
        </w:numPr>
        <w:tabs>
          <w:tab w:val="left" w:pos="720" w:leader="none"/>
        </w:tabs>
        <w:ind w:hanging="360" w:start="720" w:end="0"/>
        <w:rPr>
          <w:sz w:val="24"/>
        </w:rPr>
      </w:pPr>
      <w:r>
        <w:rPr>
          <w:sz w:val="24"/>
        </w:rPr>
        <w:t>Reverse decision not to provide retroactive refunds</w:t>
      </w:r>
    </w:p>
    <w:p>
      <w:pPr>
        <w:pStyle w:val="Normal"/>
        <w:numPr>
          <w:ilvl w:val="0"/>
          <w:numId w:val="12"/>
        </w:numPr>
        <w:tabs>
          <w:tab w:val="left" w:pos="720" w:leader="none"/>
        </w:tabs>
        <w:ind w:hanging="360" w:start="720" w:end="0"/>
        <w:rPr>
          <w:sz w:val="24"/>
        </w:rPr>
      </w:pPr>
      <w:r>
        <w:rPr>
          <w:sz w:val="24"/>
        </w:rPr>
        <w:t>Impose a $100 bid cap for the next 36 months.</w:t>
      </w:r>
    </w:p>
    <w:p>
      <w:pPr>
        <w:pStyle w:val="Normal"/>
        <w:rPr>
          <w:sz w:val="24"/>
        </w:rPr>
      </w:pPr>
      <w:r>
        <w:rPr>
          <w:sz w:val="24"/>
        </w:rPr>
      </w:r>
    </w:p>
    <w:p>
      <w:pPr>
        <w:pStyle w:val="Heading2"/>
        <w:ind w:hanging="0" w:start="0"/>
        <w:rPr>
          <w:b/>
        </w:rPr>
      </w:pPr>
      <w:r>
        <w:rPr>
          <w:b/>
        </w:rPr>
        <w:t>Reporting Requirements</w:t>
      </w:r>
    </w:p>
    <w:p>
      <w:pPr>
        <w:pStyle w:val="Normal"/>
        <w:jc w:val="center"/>
        <w:rPr>
          <w:b/>
          <w:sz w:val="24"/>
        </w:rPr>
      </w:pPr>
      <w:r>
        <w:rPr>
          <w:b/>
          <w:sz w:val="24"/>
        </w:rPr>
      </w:r>
    </w:p>
    <w:p>
      <w:pPr>
        <w:pStyle w:val="Normal"/>
        <w:rPr/>
      </w:pPr>
      <w:r>
        <w:rPr>
          <w:sz w:val="24"/>
        </w:rPr>
        <w:t>Public utility sellers will be required to report confidentially in a single weekly filing all hourly transactions exceeding $150 to the Commission’s Division of Energy Market. Such weekly reporting should be submitted by the close of business on the Wednesday following the end of the transaction week (ending Sunday at midnight). For each hourly transaction above $150, the utility seller should provide the following information, in the order listed, in an Excel spreadsheet or comma-delimited electronic file. The seller should provide a single row for each transaction and furnish</w:t>
      </w:r>
      <w:r>
        <w:rPr>
          <w:sz w:val="24"/>
          <w:lang w:eastAsia="en-US"/>
        </w:rPr>
        <w:t xml:space="preserve"> </w:t>
      </w:r>
      <w:r>
        <w:rPr>
          <w:sz w:val="24"/>
        </w:rPr>
        <w:t>column headings for the data in the first row of the file, include the following data:</w:t>
      </w:r>
    </w:p>
    <w:p>
      <w:pPr>
        <w:pStyle w:val="Normal"/>
        <w:rPr>
          <w:sz w:val="24"/>
          <w:lang w:eastAsia="en-US"/>
        </w:rPr>
      </w:pPr>
      <w:r>
        <w:rPr>
          <w:sz w:val="24"/>
          <w:lang w:eastAsia="en-US"/>
        </w:rPr>
      </w:r>
    </w:p>
    <w:p>
      <w:pPr>
        <w:pStyle w:val="Normal"/>
        <w:numPr>
          <w:ilvl w:val="0"/>
          <w:numId w:val="7"/>
        </w:numPr>
        <w:rPr>
          <w:sz w:val="24"/>
          <w:lang w:eastAsia="en-US"/>
        </w:rPr>
      </w:pPr>
      <w:r>
        <w:rPr>
          <w:sz w:val="24"/>
          <w:lang w:eastAsia="en-US"/>
        </w:rPr>
        <w:t>transaction identification number (unique identifier for the bid)</w:t>
      </w:r>
    </w:p>
    <w:p>
      <w:pPr>
        <w:pStyle w:val="Normal"/>
        <w:numPr>
          <w:ilvl w:val="0"/>
          <w:numId w:val="7"/>
        </w:numPr>
        <w:rPr>
          <w:sz w:val="24"/>
          <w:lang w:eastAsia="en-US"/>
        </w:rPr>
      </w:pPr>
      <w:r>
        <w:rPr>
          <w:sz w:val="24"/>
          <w:lang w:eastAsia="en-US"/>
        </w:rPr>
        <w:t>whether the transaction is into ISO or PX market (report ISO or PX)</w:t>
      </w:r>
    </w:p>
    <w:p>
      <w:pPr>
        <w:pStyle w:val="Normal"/>
        <w:numPr>
          <w:ilvl w:val="0"/>
          <w:numId w:val="7"/>
        </w:numPr>
        <w:rPr>
          <w:sz w:val="24"/>
          <w:lang w:eastAsia="en-US"/>
        </w:rPr>
      </w:pPr>
      <w:r>
        <w:rPr>
          <w:sz w:val="24"/>
          <w:lang w:eastAsia="en-US"/>
        </w:rPr>
        <w:t>the name of the bidder</w:t>
      </w:r>
    </w:p>
    <w:p>
      <w:pPr>
        <w:pStyle w:val="Normal"/>
        <w:numPr>
          <w:ilvl w:val="0"/>
          <w:numId w:val="7"/>
        </w:numPr>
        <w:rPr>
          <w:sz w:val="24"/>
          <w:lang w:eastAsia="en-US"/>
        </w:rPr>
      </w:pPr>
      <w:r>
        <w:rPr>
          <w:sz w:val="24"/>
          <w:lang w:eastAsia="en-US"/>
        </w:rPr>
        <w:t>transaction identification code as used by PX and ISO</w:t>
      </w:r>
    </w:p>
    <w:p>
      <w:pPr>
        <w:pStyle w:val="Normal"/>
        <w:numPr>
          <w:ilvl w:val="0"/>
          <w:numId w:val="7"/>
        </w:numPr>
        <w:rPr>
          <w:sz w:val="24"/>
          <w:lang w:eastAsia="en-US"/>
        </w:rPr>
      </w:pPr>
      <w:r>
        <w:rPr>
          <w:sz w:val="24"/>
          <w:lang w:eastAsia="en-US"/>
        </w:rPr>
        <w:t>the generation unit including the identification code as used by PX and ISO</w:t>
      </w:r>
    </w:p>
    <w:p>
      <w:pPr>
        <w:pStyle w:val="Normal"/>
        <w:numPr>
          <w:ilvl w:val="0"/>
          <w:numId w:val="7"/>
        </w:numPr>
        <w:rPr>
          <w:sz w:val="24"/>
          <w:lang w:eastAsia="en-US"/>
        </w:rPr>
      </w:pPr>
      <w:r>
        <w:rPr>
          <w:sz w:val="24"/>
          <w:lang w:eastAsia="en-US"/>
        </w:rPr>
        <w:t>the energy or ancillary service market</w:t>
      </w:r>
    </w:p>
    <w:p>
      <w:pPr>
        <w:pStyle w:val="Normal"/>
        <w:numPr>
          <w:ilvl w:val="0"/>
          <w:numId w:val="7"/>
        </w:numPr>
        <w:rPr>
          <w:sz w:val="24"/>
          <w:lang w:eastAsia="en-US"/>
        </w:rPr>
      </w:pPr>
      <w:r>
        <w:rPr>
          <w:sz w:val="24"/>
          <w:lang w:eastAsia="en-US"/>
        </w:rPr>
        <w:t>transaction starting date (mm/dd/yyyy)</w:t>
      </w:r>
    </w:p>
    <w:p>
      <w:pPr>
        <w:pStyle w:val="Normal"/>
        <w:numPr>
          <w:ilvl w:val="0"/>
          <w:numId w:val="7"/>
        </w:numPr>
        <w:rPr>
          <w:sz w:val="24"/>
          <w:lang w:eastAsia="en-US"/>
        </w:rPr>
      </w:pPr>
      <w:r>
        <w:rPr>
          <w:sz w:val="24"/>
          <w:lang w:eastAsia="en-US"/>
        </w:rPr>
        <w:t>transaction starting time (hh:mm)</w:t>
      </w:r>
    </w:p>
    <w:p>
      <w:pPr>
        <w:pStyle w:val="Normal"/>
        <w:numPr>
          <w:ilvl w:val="0"/>
          <w:numId w:val="7"/>
        </w:numPr>
        <w:rPr>
          <w:sz w:val="24"/>
          <w:lang w:eastAsia="en-US"/>
        </w:rPr>
      </w:pPr>
      <w:r>
        <w:rPr>
          <w:sz w:val="24"/>
          <w:lang w:eastAsia="en-US"/>
        </w:rPr>
        <w:t>transaction ending date (mm/dd/yyyy)</w:t>
      </w:r>
    </w:p>
    <w:p>
      <w:pPr>
        <w:pStyle w:val="Normal"/>
        <w:numPr>
          <w:ilvl w:val="0"/>
          <w:numId w:val="7"/>
        </w:numPr>
        <w:rPr>
          <w:sz w:val="24"/>
          <w:lang w:eastAsia="en-US"/>
        </w:rPr>
      </w:pPr>
      <w:r>
        <w:rPr>
          <w:sz w:val="24"/>
          <w:lang w:eastAsia="en-US"/>
        </w:rPr>
        <w:t>transaction ending time (hh:mm)</w:t>
      </w:r>
    </w:p>
    <w:p>
      <w:pPr>
        <w:pStyle w:val="Normal"/>
        <w:numPr>
          <w:ilvl w:val="0"/>
          <w:numId w:val="7"/>
        </w:numPr>
        <w:rPr>
          <w:sz w:val="24"/>
          <w:lang w:eastAsia="en-US"/>
        </w:rPr>
      </w:pPr>
      <w:r>
        <w:rPr>
          <w:sz w:val="24"/>
          <w:lang w:eastAsia="en-US"/>
        </w:rPr>
        <w:t>the price of megawatts covered by the offer ($/MWh)</w:t>
      </w:r>
    </w:p>
    <w:p>
      <w:pPr>
        <w:pStyle w:val="Normal"/>
        <w:numPr>
          <w:ilvl w:val="0"/>
          <w:numId w:val="7"/>
        </w:numPr>
        <w:rPr>
          <w:sz w:val="24"/>
          <w:lang w:eastAsia="en-US"/>
        </w:rPr>
      </w:pPr>
      <w:r>
        <w:rPr>
          <w:sz w:val="24"/>
          <w:lang w:eastAsia="en-US"/>
        </w:rPr>
        <w:t>megawatthours covered by the offer</w:t>
      </w:r>
    </w:p>
    <w:p>
      <w:pPr>
        <w:pStyle w:val="Normal"/>
        <w:numPr>
          <w:ilvl w:val="0"/>
          <w:numId w:val="7"/>
        </w:numPr>
        <w:rPr>
          <w:sz w:val="24"/>
          <w:lang w:eastAsia="en-US"/>
        </w:rPr>
      </w:pPr>
      <w:r>
        <w:rPr>
          <w:sz w:val="24"/>
          <w:lang w:eastAsia="en-US"/>
        </w:rPr>
        <w:t>heat rate (btu/KWh)</w:t>
      </w:r>
    </w:p>
    <w:p>
      <w:pPr>
        <w:pStyle w:val="Normal"/>
        <w:numPr>
          <w:ilvl w:val="0"/>
          <w:numId w:val="7"/>
        </w:numPr>
        <w:rPr>
          <w:sz w:val="24"/>
          <w:lang w:eastAsia="en-US"/>
        </w:rPr>
      </w:pPr>
      <w:r>
        <w:rPr>
          <w:sz w:val="24"/>
          <w:lang w:eastAsia="en-US"/>
        </w:rPr>
        <w:t>type of fuel (natural gas, oil, coal, and other)</w:t>
      </w:r>
    </w:p>
    <w:p>
      <w:pPr>
        <w:pStyle w:val="Normal"/>
        <w:numPr>
          <w:ilvl w:val="0"/>
          <w:numId w:val="7"/>
        </w:numPr>
        <w:rPr>
          <w:sz w:val="24"/>
          <w:lang w:eastAsia="en-US"/>
        </w:rPr>
      </w:pPr>
      <w:r>
        <w:rPr>
          <w:sz w:val="24"/>
          <w:lang w:eastAsia="en-US"/>
        </w:rPr>
        <w:t>if not generated, the purchase price and the name of the supplier</w:t>
      </w:r>
    </w:p>
    <w:p>
      <w:pPr>
        <w:pStyle w:val="Normal"/>
        <w:rPr>
          <w:sz w:val="24"/>
          <w:lang w:eastAsia="en-US"/>
        </w:rPr>
      </w:pPr>
      <w:r>
        <w:rPr>
          <w:sz w:val="24"/>
          <w:lang w:eastAsia="en-US"/>
        </w:rPr>
      </w:r>
    </w:p>
    <w:p>
      <w:pPr>
        <w:pStyle w:val="Normal"/>
        <w:rPr>
          <w:sz w:val="24"/>
          <w:lang w:eastAsia="en-US"/>
        </w:rPr>
      </w:pPr>
      <w:r>
        <w:rPr>
          <w:sz w:val="24"/>
          <w:lang w:eastAsia="en-US"/>
        </w:rPr>
        <w:t>The following list of data items should be included in the spreadsheet based on the megawatts in the transaction:</w:t>
      </w:r>
    </w:p>
    <w:p>
      <w:pPr>
        <w:pStyle w:val="Normal"/>
        <w:rPr>
          <w:sz w:val="24"/>
          <w:lang w:eastAsia="en-US"/>
        </w:rPr>
      </w:pPr>
      <w:r>
        <w:rPr>
          <w:sz w:val="24"/>
          <w:lang w:eastAsia="en-US"/>
        </w:rPr>
      </w:r>
    </w:p>
    <w:p>
      <w:pPr>
        <w:pStyle w:val="Normal"/>
        <w:numPr>
          <w:ilvl w:val="0"/>
          <w:numId w:val="10"/>
        </w:numPr>
        <w:rPr>
          <w:sz w:val="24"/>
          <w:lang w:eastAsia="en-US"/>
        </w:rPr>
      </w:pPr>
      <w:r>
        <w:rPr>
          <w:sz w:val="24"/>
          <w:lang w:eastAsia="en-US"/>
        </w:rPr>
        <w:t>total fuel quantity</w:t>
      </w:r>
    </w:p>
    <w:p>
      <w:pPr>
        <w:pStyle w:val="Normal"/>
        <w:numPr>
          <w:ilvl w:val="0"/>
          <w:numId w:val="10"/>
        </w:numPr>
        <w:rPr>
          <w:sz w:val="24"/>
          <w:lang w:eastAsia="en-US"/>
        </w:rPr>
      </w:pPr>
      <w:r>
        <w:rPr>
          <w:sz w:val="24"/>
          <w:lang w:eastAsia="en-US"/>
        </w:rPr>
        <w:t>total fuel cost</w:t>
      </w:r>
    </w:p>
    <w:p>
      <w:pPr>
        <w:pStyle w:val="Normal"/>
        <w:numPr>
          <w:ilvl w:val="0"/>
          <w:numId w:val="10"/>
        </w:numPr>
        <w:rPr>
          <w:sz w:val="24"/>
          <w:lang w:eastAsia="en-US"/>
        </w:rPr>
      </w:pPr>
      <w:r>
        <w:rPr>
          <w:sz w:val="24"/>
          <w:lang w:eastAsia="en-US"/>
        </w:rPr>
        <w:t>NOx emissions rate (lbs/MWh)</w:t>
      </w:r>
    </w:p>
    <w:p>
      <w:pPr>
        <w:pStyle w:val="Normal"/>
        <w:numPr>
          <w:ilvl w:val="0"/>
          <w:numId w:val="10"/>
        </w:numPr>
        <w:rPr>
          <w:sz w:val="24"/>
          <w:lang w:eastAsia="en-US"/>
        </w:rPr>
      </w:pPr>
      <w:r>
        <w:rPr>
          <w:sz w:val="24"/>
          <w:lang w:eastAsia="en-US"/>
        </w:rPr>
        <w:t>cost of NOx emissions ($/MWh)</w:t>
      </w:r>
    </w:p>
    <w:p>
      <w:pPr>
        <w:pStyle w:val="Normal"/>
        <w:numPr>
          <w:ilvl w:val="0"/>
          <w:numId w:val="10"/>
        </w:numPr>
        <w:rPr>
          <w:sz w:val="24"/>
          <w:lang w:eastAsia="en-US"/>
        </w:rPr>
      </w:pPr>
      <w:r>
        <w:rPr>
          <w:sz w:val="24"/>
          <w:lang w:eastAsia="en-US"/>
        </w:rPr>
        <w:t>other environmental compliance costs ($/MWh)</w:t>
      </w:r>
    </w:p>
    <w:p>
      <w:pPr>
        <w:pStyle w:val="Normal"/>
        <w:numPr>
          <w:ilvl w:val="0"/>
          <w:numId w:val="10"/>
        </w:numPr>
        <w:rPr>
          <w:sz w:val="24"/>
          <w:lang w:eastAsia="en-US"/>
        </w:rPr>
      </w:pPr>
      <w:r>
        <w:rPr>
          <w:sz w:val="24"/>
          <w:lang w:eastAsia="en-US"/>
        </w:rPr>
        <w:t>variable O&amp;M costs</w:t>
      </w:r>
    </w:p>
    <w:p>
      <w:pPr>
        <w:pStyle w:val="Normal"/>
        <w:numPr>
          <w:ilvl w:val="0"/>
          <w:numId w:val="10"/>
        </w:numPr>
        <w:rPr>
          <w:sz w:val="24"/>
          <w:lang w:eastAsia="en-US"/>
        </w:rPr>
      </w:pPr>
      <w:r>
        <w:rPr>
          <w:sz w:val="24"/>
          <w:lang w:eastAsia="en-US"/>
        </w:rPr>
        <w:t>other costs (document separately)</w:t>
      </w:r>
    </w:p>
    <w:p>
      <w:pPr>
        <w:pStyle w:val="Normal"/>
        <w:rPr>
          <w:sz w:val="24"/>
          <w:lang w:eastAsia="en-US"/>
        </w:rPr>
      </w:pPr>
      <w:r>
        <w:rPr>
          <w:sz w:val="24"/>
          <w:lang w:eastAsia="en-US"/>
        </w:rPr>
      </w:r>
    </w:p>
    <w:p>
      <w:pPr>
        <w:pStyle w:val="Normal"/>
        <w:rPr>
          <w:sz w:val="24"/>
          <w:lang w:eastAsia="en-US"/>
        </w:rPr>
      </w:pPr>
      <w:r>
        <w:rPr>
          <w:sz w:val="24"/>
          <w:lang w:eastAsia="en-US"/>
        </w:rPr>
        <w:t>In addition, the seller must provide:</w:t>
      </w:r>
    </w:p>
    <w:p>
      <w:pPr>
        <w:pStyle w:val="Normal"/>
        <w:rPr>
          <w:sz w:val="24"/>
          <w:lang w:eastAsia="en-US"/>
        </w:rPr>
      </w:pPr>
      <w:r>
        <w:rPr>
          <w:sz w:val="24"/>
          <w:lang w:eastAsia="en-US"/>
        </w:rPr>
      </w:r>
    </w:p>
    <w:p>
      <w:pPr>
        <w:pStyle w:val="Normal"/>
        <w:numPr>
          <w:ilvl w:val="0"/>
          <w:numId w:val="5"/>
        </w:numPr>
        <w:rPr>
          <w:sz w:val="24"/>
          <w:lang w:eastAsia="en-US"/>
        </w:rPr>
      </w:pPr>
      <w:r>
        <w:rPr>
          <w:sz w:val="24"/>
          <w:lang w:eastAsia="en-US"/>
        </w:rPr>
        <w:t>outage information for all of the seller's individual resources for the transaction period</w:t>
      </w:r>
    </w:p>
    <w:p>
      <w:pPr>
        <w:pStyle w:val="Normal"/>
        <w:numPr>
          <w:ilvl w:val="0"/>
          <w:numId w:val="5"/>
        </w:numPr>
        <w:rPr>
          <w:sz w:val="24"/>
          <w:lang w:eastAsia="en-US"/>
        </w:rPr>
      </w:pPr>
      <w:r>
        <w:rPr>
          <w:sz w:val="24"/>
          <w:lang w:eastAsia="en-US"/>
        </w:rPr>
        <w:t>any unsold MWs which the individual seller has failed to bid into the PX or ISO spot markets during the transaction period</w:t>
      </w:r>
    </w:p>
    <w:p>
      <w:pPr>
        <w:pStyle w:val="Normal"/>
        <w:numPr>
          <w:ilvl w:val="0"/>
          <w:numId w:val="5"/>
        </w:numPr>
        <w:rPr>
          <w:sz w:val="24"/>
        </w:rPr>
      </w:pPr>
      <w:r>
        <w:rPr>
          <w:sz w:val="24"/>
          <w:lang w:eastAsia="en-US"/>
        </w:rPr>
        <w:t>all bids submitted into the PX or ISO spot markets during the transaction period</w:t>
      </w:r>
    </w:p>
    <w:p>
      <w:pPr>
        <w:pStyle w:val="Normal"/>
        <w:rPr>
          <w:sz w:val="24"/>
          <w:lang w:eastAsia="en-US"/>
        </w:rPr>
      </w:pPr>
      <w:r>
        <w:rPr>
          <w:sz w:val="24"/>
          <w:lang w:eastAsia="en-US"/>
        </w:rPr>
      </w:r>
    </w:p>
    <w:p>
      <w:pPr>
        <w:pStyle w:val="Normal"/>
        <w:rPr>
          <w:sz w:val="24"/>
          <w:lang w:eastAsia="en-US"/>
        </w:rPr>
      </w:pPr>
      <w:r>
        <w:rPr>
          <w:sz w:val="24"/>
          <w:lang w:eastAsia="en-US"/>
        </w:rPr>
        <w:t>Further, the PX and ISO must make monthly confidential reports for all bids exceeding $150 for all public and non-public utilities, with their first report due February 15, for the period 1/1 through 1/31/00.  Future reports must be filed 15 days after the end of the month.  FERC staff will meet with the PX and ISO to finalize the reporting requirements.</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NewRoman">
    <w:charset w:val="00" w:characterSet="windows-1252"/>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It found that this is the most serious flaw in the market design created by AB 1890 and the CPUC implementing orders and that continued delay in making this change places all other aspects of its remedial plan at risk and prolongs the market dysfunction.</w:t>
      </w:r>
    </w:p>
  </w:footnote>
  <w:footnote w:id="3">
    <w:p>
      <w:pPr>
        <w:pStyle w:val="Normal"/>
        <w:rPr/>
      </w:pPr>
      <w:r>
        <w:rPr>
          <w:rStyle w:val="FootnoteCharacters"/>
        </w:rPr>
        <w:footnoteRef/>
      </w:r>
      <w:r>
        <w:rPr/>
        <w:t xml:space="preserve"> </w:t>
      </w:r>
      <w:r>
        <w:rPr/>
        <w:t>It found immediate action was crucial to ensuring that the “Buy” restrictions imposed by the CPUC do not undermine wholesale power markets.  It found the mandatory participation requirement is producing rates that are not just and reasonable during certain periods.</w:t>
      </w:r>
    </w:p>
  </w:footnote>
  <w:footnote w:id="4">
    <w:p>
      <w:pPr>
        <w:pStyle w:val="Normal"/>
        <w:rPr/>
      </w:pPr>
      <w:r>
        <w:rPr>
          <w:rStyle w:val="FootnoteCharacters"/>
        </w:rPr>
        <w:footnoteRef/>
      </w:r>
      <w:r>
        <w:rPr/>
        <w:t xml:space="preserve"> </w:t>
      </w:r>
      <w:r>
        <w:rPr>
          <w:lang w:eastAsia="en-US"/>
        </w:rPr>
        <w:t>The Commission clarified that it is not thereby establishing a new standard for market-based prices for long-term contracts.</w:t>
      </w:r>
    </w:p>
    <w:p>
      <w:pPr>
        <w:pStyle w:val="FootnoteText"/>
        <w:rPr/>
      </w:pPr>
      <w:r>
        <w:rPr/>
      </w:r>
    </w:p>
  </w:footnote>
  <w:footnote w:id="5">
    <w:p>
      <w:pPr>
        <w:pStyle w:val="FootnoteText"/>
        <w:rPr/>
      </w:pPr>
      <w:r>
        <w:rPr>
          <w:rStyle w:val="FootnoteCharacters"/>
        </w:rPr>
        <w:footnoteRef/>
      </w:r>
      <w:r>
        <w:rPr/>
        <w:t xml:space="preserve"> </w:t>
      </w:r>
      <w:r>
        <w:rPr/>
        <w:t>The Commission found that continued use of a price cap is not a necessary or appropriate element of the remedial package.</w:t>
      </w:r>
    </w:p>
  </w:footnote>
  <w:footnote w:id="6">
    <w:p>
      <w:pPr>
        <w:pStyle w:val="FootnoteText"/>
        <w:rPr/>
      </w:pPr>
      <w:r>
        <w:rPr>
          <w:rStyle w:val="FootnoteCharacters"/>
        </w:rPr>
        <w:footnoteRef/>
      </w:r>
      <w:r>
        <w:rPr/>
        <w:t xml:space="preserve"> </w:t>
      </w:r>
      <w:r>
        <w:rPr/>
        <w:t>FERC directed the PX to put as-bid prices in its block forward market Daily block market if this procedure is the quickest method to meet the January 1, 2001.  It further directed the ISO, PX, and other scheduling coordinators to work out the most expeditious way to calculate usage charges for congestion management.</w:t>
      </w:r>
    </w:p>
  </w:footnote>
  <w:footnote w:id="7">
    <w:p>
      <w:pPr>
        <w:pStyle w:val="FootnoteText"/>
        <w:rPr/>
      </w:pPr>
      <w:r>
        <w:rPr>
          <w:rStyle w:val="FootnoteCharacters"/>
        </w:rPr>
        <w:footnoteRef/>
      </w:r>
      <w:r>
        <w:rPr/>
        <w:t xml:space="preserve"> </w:t>
      </w:r>
      <w:r>
        <w:rPr/>
        <w:t>See the reporting requirements listed at the end of this document.</w:t>
      </w:r>
    </w:p>
  </w:footnote>
  <w:footnote w:id="8">
    <w:p>
      <w:pPr>
        <w:pStyle w:val="FootnoteText"/>
        <w:rPr/>
      </w:pPr>
      <w:r>
        <w:rPr>
          <w:rStyle w:val="FootnoteCharacters"/>
        </w:rPr>
        <w:footnoteRef/>
      </w:r>
      <w:r>
        <w:rPr/>
        <w:t xml:space="preserve"> </w:t>
      </w:r>
      <w:r>
        <w:rPr/>
        <w:t>FERC also rejected the argument that it cannot make power marketers rates subject to refund for longer than the 15 month allowed by Section 206 of the Federal Power Act.  It found it may act, not under Section 206 but rather under Section 205 to prospectively condition market-based rate authority where, absent that condition, the Commission cannot find that market-based rate authority will produce just and reasonable rates.  Further in light of its technical conference to develop more “real-time” prevention of unjust and unreasonable rates, it anticipates that the refund condition may be of relatively short duration.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b/>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ind w:hanging="0" w:start="720" w:end="720"/>
    </w:pPr>
    <w:rPr>
      <w:sz w:val="24"/>
      <w:lang w:eastAsia="en-US"/>
    </w:rPr>
  </w:style>
  <w:style w:type="paragraph" w:styleId="BodyText2">
    <w:name w:val="Body Text 2"/>
    <w:basedOn w:val="Normal"/>
    <w:qFormat/>
    <w:pPr/>
    <w:rPr>
      <w:rFonts w:ascii="TimesNewRoman" w:hAnsi="TimesNewRoman" w:cs="TimesNewRoman"/>
      <w:sz w:val="26"/>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2000-12-15T19:55:00Z</dcterms:created>
  <dc:creator>mhain</dc:creator>
  <dc:description/>
  <dc:language>en-CA</dc:language>
  <cp:lastModifiedBy>mhain</cp:lastModifiedBy>
  <cp:lastPrinted>2000-12-17T16:25:00Z</cp:lastPrinted>
  <dcterms:modified xsi:type="dcterms:W3CDTF">2000-12-17T22:37:00Z</dcterms:modified>
  <cp:revision>7</cp:revision>
  <dc:subject/>
  <dc:title>Effective December 15, 2000, FERC</dc:title>
</cp:coreProperties>
</file>