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30"/>
        </w:rPr>
      </w:pPr>
      <w:r>
        <w:rPr>
          <w:rFonts w:cs="Times New Roman" w:ascii="Times New Roman" w:hAnsi="Times New Roman"/>
          <w:b/>
          <w:sz w:val="30"/>
        </w:rPr>
      </w:r>
    </w:p>
    <w:p>
      <w:pPr>
        <w:pStyle w:val="Normal"/>
        <w:rPr>
          <w:rFonts w:ascii="Times New Roman" w:hAnsi="Times New Roman" w:cs="Times New Roman"/>
          <w:b/>
        </w:rPr>
      </w:pPr>
      <w:r>
        <w:rPr>
          <w:rFonts w:cs="Times New Roman" w:ascii="Times New Roman" w:hAnsi="Times New Roman"/>
          <w:b/>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rPr>
            </w:pPr>
            <w:bookmarkStart w:id="0" w:name="case_name"/>
            <w:bookmarkEnd w:id="0"/>
            <w:r>
              <w:rPr>
                <w:rFonts w:cs="Times New Roman" w:ascii="Times New Roman" w:hAnsi="Times New Roman"/>
                <w:b/>
              </w:rPr>
              <w:t>San Diego Gas &amp; Electric Company</w:t>
            </w:r>
          </w:p>
          <w:p>
            <w:pPr>
              <w:pStyle w:val="Normal"/>
              <w:ind w:hanging="360" w:start="360" w:end="0"/>
              <w:rPr>
                <w:rFonts w:ascii="Times New Roman" w:hAnsi="Times New Roman" w:cs="Times New Roman"/>
                <w:b/>
              </w:rPr>
            </w:pPr>
            <w:r>
              <w:rPr>
                <w:rFonts w:cs="Times New Roman" w:ascii="Times New Roman" w:hAnsi="Times New Roman"/>
                <w:b/>
              </w:rPr>
            </w:r>
          </w:p>
          <w:p>
            <w:pPr>
              <w:pStyle w:val="Normal"/>
              <w:ind w:hanging="360" w:start="360" w:end="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v.</w:t>
            </w:r>
          </w:p>
          <w:p>
            <w:pPr>
              <w:pStyle w:val="Normal"/>
              <w:ind w:hanging="360" w:start="360" w:end="0"/>
              <w:rPr>
                <w:rFonts w:ascii="Times New Roman" w:hAnsi="Times New Roman" w:cs="Times New Roman"/>
                <w:b/>
              </w:rPr>
            </w:pPr>
            <w:r>
              <w:rPr>
                <w:rFonts w:cs="Times New Roman" w:ascii="Times New Roman" w:hAnsi="Times New Roman"/>
                <w:b/>
              </w:rPr>
            </w:r>
          </w:p>
          <w:p>
            <w:pPr>
              <w:pStyle w:val="Normal"/>
              <w:ind w:hanging="360" w:start="360" w:end="0"/>
              <w:rPr>
                <w:rFonts w:ascii="Times New Roman" w:hAnsi="Times New Roman" w:cs="Times New Roman"/>
                <w:b/>
              </w:rPr>
            </w:pPr>
            <w:r>
              <w:rPr>
                <w:rFonts w:cs="Times New Roman" w:ascii="Times New Roman" w:hAnsi="Times New Roman"/>
                <w:b/>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rPr>
            </w:pPr>
            <w:r>
              <w:rPr>
                <w:rFonts w:cs="Times New Roman" w:ascii="Times New Roman" w:hAnsi="Times New Roman"/>
                <w:b/>
              </w:rPr>
            </w:r>
          </w:p>
          <w:p>
            <w:pPr>
              <w:pStyle w:val="Normal"/>
              <w:ind w:hanging="360" w:start="360" w:end="0"/>
              <w:rPr>
                <w:rFonts w:ascii="Times New Roman" w:hAnsi="Times New Roman" w:cs="Times New Roman"/>
                <w:b/>
              </w:rPr>
            </w:pPr>
            <w:r>
              <w:rPr>
                <w:rFonts w:cs="Times New Roman" w:ascii="Times New Roman" w:hAnsi="Times New Roman"/>
                <w:b/>
              </w:rPr>
            </w:r>
          </w:p>
        </w:tc>
        <w:tc>
          <w:tcPr>
            <w:tcW w:w="619" w:type="dxa"/>
            <w:tcBorders/>
          </w:tcPr>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t>)</w:t>
            </w:r>
          </w:p>
          <w:p>
            <w:pPr>
              <w:pStyle w:val="Normal"/>
              <w:jc w:val="center"/>
              <w:rPr>
                <w:rFonts w:ascii="Times New Roman" w:hAnsi="Times New Roman" w:cs="Times New Roman"/>
                <w:b/>
              </w:rPr>
            </w:pPr>
            <w:r>
              <w:rPr>
                <w:rFonts w:cs="Times New Roman" w:ascii="Times New Roman" w:hAnsi="Times New Roman"/>
                <w:b/>
              </w:rPr>
            </w:r>
          </w:p>
        </w:tc>
        <w:tc>
          <w:tcPr>
            <w:tcW w:w="3499" w:type="dxa"/>
            <w:tcBorders/>
          </w:tcPr>
          <w:p>
            <w:pPr>
              <w:pStyle w:val="Normal"/>
              <w:snapToGrid w:val="false"/>
              <w:ind w:hanging="360" w:start="360" w:end="0"/>
              <w:rPr>
                <w:rFonts w:ascii="Times New Roman" w:hAnsi="Times New Roman" w:cs="Times New Roman"/>
                <w:b/>
              </w:rPr>
            </w:pPr>
            <w:r>
              <w:rPr>
                <w:rFonts w:cs="Times New Roman" w:ascii="Times New Roman" w:hAnsi="Times New Roman"/>
                <w:b/>
              </w:rPr>
            </w:r>
          </w:p>
          <w:p>
            <w:pPr>
              <w:pStyle w:val="Normal"/>
              <w:ind w:hanging="360" w:start="360" w:end="0"/>
              <w:rPr>
                <w:rFonts w:ascii="Times New Roman" w:hAnsi="Times New Roman" w:cs="Times New Roman"/>
                <w:b/>
              </w:rPr>
            </w:pPr>
            <w:r>
              <w:rPr>
                <w:rFonts w:cs="Times New Roman" w:ascii="Times New Roman" w:hAnsi="Times New Roman"/>
                <w:b/>
              </w:rPr>
            </w:r>
          </w:p>
          <w:p>
            <w:pPr>
              <w:pStyle w:val="Normal"/>
              <w:ind w:hanging="360" w:start="360" w:end="0"/>
              <w:rPr>
                <w:rFonts w:ascii="Times New Roman" w:hAnsi="Times New Roman" w:cs="Times New Roman"/>
                <w:b/>
                <w:i/>
                <w:i/>
              </w:rPr>
            </w:pPr>
            <w:r>
              <w:rPr>
                <w:rFonts w:cs="Times New Roman" w:ascii="Times New Roman" w:hAnsi="Times New Roman"/>
                <w:b/>
              </w:rPr>
              <w:t xml:space="preserve">Dockets Nos. </w:t>
            </w:r>
            <w:bookmarkStart w:id="1" w:name="docket_nos"/>
            <w:bookmarkEnd w:id="1"/>
            <w:r>
              <w:rPr>
                <w:rFonts w:cs="Times New Roman" w:ascii="Times New Roman" w:hAnsi="Times New Roman"/>
                <w:b/>
              </w:rPr>
              <w:t>EL00-95-045 and EL00-98-042</w:t>
            </w:r>
          </w:p>
          <w:p>
            <w:pPr>
              <w:pStyle w:val="Normal"/>
              <w:ind w:hanging="360" w:start="360" w:end="0"/>
              <w:rPr>
                <w:rFonts w:ascii="Times New Roman" w:hAnsi="Times New Roman" w:cs="Times New Roman"/>
                <w:b/>
                <w:i/>
                <w:i/>
              </w:rPr>
            </w:pPr>
            <w:r>
              <w:rPr>
                <w:rFonts w:cs="Times New Roman" w:ascii="Times New Roman" w:hAnsi="Times New Roman"/>
                <w:b/>
                <w:i/>
              </w:rPr>
            </w:r>
          </w:p>
          <w:p>
            <w:pPr>
              <w:pStyle w:val="Normal"/>
              <w:ind w:hanging="360" w:start="360" w:end="0"/>
              <w:rPr>
                <w:rFonts w:ascii="Times New Roman" w:hAnsi="Times New Roman" w:cs="Times New Roman"/>
                <w:b/>
                <w:i/>
                <w:i/>
              </w:rPr>
            </w:pPr>
            <w:r>
              <w:rPr>
                <w:rFonts w:cs="Times New Roman" w:ascii="Times New Roman" w:hAnsi="Times New Roman"/>
                <w:b/>
                <w:i/>
              </w:rPr>
            </w:r>
          </w:p>
          <w:p>
            <w:pPr>
              <w:pStyle w:val="Normal"/>
              <w:ind w:hanging="360" w:start="360" w:end="0"/>
              <w:rPr>
                <w:rFonts w:ascii="Times New Roman" w:hAnsi="Times New Roman" w:cs="Times New Roman"/>
                <w:b/>
                <w:i/>
                <w:i/>
              </w:rPr>
            </w:pPr>
            <w:r>
              <w:rPr>
                <w:rFonts w:cs="Times New Roman" w:ascii="Times New Roman" w:hAnsi="Times New Roman"/>
                <w:b/>
                <w:i/>
              </w:rPr>
            </w:r>
          </w:p>
          <w:p>
            <w:pPr>
              <w:pStyle w:val="Normal"/>
              <w:ind w:hanging="360" w:start="360" w:end="0"/>
              <w:rPr>
                <w:rFonts w:ascii="Times New Roman" w:hAnsi="Times New Roman" w:cs="Times New Roman"/>
                <w:b/>
                <w:i/>
                <w:i/>
              </w:rPr>
            </w:pPr>
            <w:r>
              <w:rPr>
                <w:rFonts w:cs="Times New Roman" w:ascii="Times New Roman" w:hAnsi="Times New Roman"/>
                <w:b/>
                <w:i/>
              </w:rPr>
            </w:r>
          </w:p>
          <w:p>
            <w:pPr>
              <w:pStyle w:val="Normal"/>
              <w:ind w:hanging="360" w:start="360" w:end="0"/>
              <w:rPr>
                <w:rFonts w:ascii="Times New Roman" w:hAnsi="Times New Roman" w:cs="Times New Roman"/>
                <w:b/>
                <w:i/>
                <w:i/>
              </w:rPr>
            </w:pPr>
            <w:r>
              <w:rPr>
                <w:rFonts w:cs="Times New Roman" w:ascii="Times New Roman" w:hAnsi="Times New Roman"/>
                <w:b/>
                <w:i/>
              </w:rPr>
            </w:r>
          </w:p>
          <w:p>
            <w:pPr>
              <w:pStyle w:val="Normal"/>
              <w:ind w:hanging="360" w:start="360" w:end="0"/>
              <w:rPr>
                <w:rFonts w:ascii="Times New Roman" w:hAnsi="Times New Roman" w:cs="Times New Roman"/>
                <w:b/>
                <w:i/>
                <w:i/>
              </w:rPr>
            </w:pPr>
            <w:r>
              <w:rPr>
                <w:rFonts w:cs="Times New Roman" w:ascii="Times New Roman" w:hAnsi="Times New Roman"/>
                <w:b/>
                <w:i/>
              </w:rPr>
            </w:r>
          </w:p>
        </w:tc>
      </w:tr>
    </w:tbl>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sz w:val="30"/>
        </w:rPr>
      </w:pPr>
      <w:r>
        <w:rPr>
          <w:rFonts w:cs="Times New Roman" w:ascii="Times New Roman" w:hAnsi="Times New Roman"/>
          <w:b/>
          <w:sz w:val="30"/>
        </w:rPr>
        <w:t xml:space="preserve">Summary of Direct Testimony of Stephen J. Sciortino on Behalf of </w:t>
      </w:r>
    </w:p>
    <w:p>
      <w:pPr>
        <w:pStyle w:val="Normal"/>
        <w:jc w:val="center"/>
        <w:rPr>
          <w:rFonts w:ascii="Times New Roman" w:hAnsi="Times New Roman" w:cs="Times New Roman"/>
          <w:b/>
          <w:sz w:val="30"/>
          <w:u w:val="single"/>
        </w:rPr>
      </w:pPr>
      <w:r>
        <w:rPr>
          <w:rFonts w:cs="Times New Roman" w:ascii="Times New Roman" w:hAnsi="Times New Roman"/>
          <w:b/>
          <w:sz w:val="30"/>
        </w:rPr>
        <w:t>the City of Anaheim, California Regarding Emissions Costs and Response to DOE Emergency Orders</w:t>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In the Direct Testimony of Stephen J. Sciortino on Behalf of the City of Anaheim Regarding Emissions Costs and Response to DOE Orders, Exhibit SOC-2, Stephen J. Sciortino, Integrated Resources Manager for the Public Utilities Department of the City of Anaheim, sets forth and describes the calculation of the emissions costs applicable to Anaheim’s sales to the California Independent System Operator Corporation (“ISO”) and the California Power Exchange Corporation (“PX”) during the period October 2, 2000 to June 20, 2001.  In addition, Mr. Sciortino describes Anaheim’s response to the Department of Energy’s §202c emergency orders and the certifications of emergency conditions by the ISO.  Exhibit SOC-3 provides detailed information concerning Anaheim’s emissions costs and Anaheim’s sales to the ISO during the period when the ISO’s emergency certifications were in effect.</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1711720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2001-11-06T18:05:00Z</dcterms:created>
  <dc:creator>Thompson Coburn</dc:creator>
  <dc:description/>
  <dc:language>en-CA</dc:language>
  <cp:lastModifiedBy>Thompson Coburn</cp:lastModifiedBy>
  <cp:lastPrinted>2001-11-06T15:30:00Z</cp:lastPrinted>
  <dcterms:modified xsi:type="dcterms:W3CDTF">2001-11-06T19:30:00Z</dcterms:modified>
  <cp:revision>3</cp:revision>
  <dc:subject/>
  <dc:title>Dockets Nos</dc:title>
</cp:coreProperties>
</file>