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Gary L. Nolff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Riverside, California Regarding Purchased Power Costs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In the Direct Testimony of Gary L. Nolff on Behalf of the City of Riverside, California Regarding Purchased Power Costs, Exhibit SOC-7, Gary L. Nolff, Utilities Projects/Contracts Manager with the Power Resources Division, Public Utilities Department of the City of Riverside, describes the Riverside electric system.  Mr. Nolff explains that Riverside would fail to recover approximately $742,000 in costs if it is required to refund all revenues received from the California Independent System Operator Corporation (“ISO”) and California Power Exchange Corporation (“PX”) in excess of the Mitigated Market Clearing Prices as calculated by the ISO.</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2001-11-06T18:32:00Z</dcterms:created>
  <dc:creator>Thompson Coburn</dc:creator>
  <dc:description/>
  <dc:language>en-CA</dc:language>
  <cp:lastModifiedBy>Thompson Coburn</cp:lastModifiedBy>
  <cp:lastPrinted>2001-11-06T15:55:00Z</cp:lastPrinted>
  <dcterms:modified xsi:type="dcterms:W3CDTF">2001-11-06T19:28:00Z</dcterms:modified>
  <cp:revision>3</cp:revision>
  <dc:subject/>
  <dc:title>Dockets Nos</dc:title>
</cp:coreProperties>
</file>