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Summary of “Final Draft” of NERC Legislation</w:t>
      </w:r>
    </w:p>
    <w:p>
      <w:pPr>
        <w:pStyle w:val="Normal"/>
        <w:jc w:val="center"/>
        <w:rPr>
          <w:b/>
          <w:bCs/>
          <w:sz w:val="28"/>
        </w:rPr>
      </w:pPr>
      <w:r>
        <w:rPr>
          <w:b/>
          <w:bCs/>
          <w:sz w:val="28"/>
        </w:rPr>
      </w:r>
    </w:p>
    <w:p>
      <w:pPr>
        <w:pStyle w:val="Normal"/>
        <w:jc w:val="center"/>
        <w:rPr>
          <w:sz w:val="28"/>
        </w:rPr>
      </w:pPr>
      <w:r>
        <w:rPr>
          <w:sz w:val="28"/>
        </w:rPr>
      </w:r>
    </w:p>
    <w:p>
      <w:pPr>
        <w:pStyle w:val="BodyText"/>
        <w:numPr>
          <w:ilvl w:val="0"/>
          <w:numId w:val="1"/>
        </w:numPr>
        <w:rPr/>
      </w:pPr>
      <w:r>
        <w:rPr/>
        <w:t>FERC has jurisdiction over the Electric Reliability Organization (ERO), the affiliated regional reliability entities (ARREs) and users of the bulk power system in the United States, but only for purposes of approving and enforcing compliance with the new legislation (i.e., not “plenary” authority over reliability beyond the details of the legislation).  In addition, other parts of the legislation restrict FERC’s relationship with these entities in varying degrees (see below).</w:t>
      </w:r>
    </w:p>
    <w:p>
      <w:pPr>
        <w:pStyle w:val="Normal"/>
        <w:jc w:val="both"/>
        <w:rPr>
          <w:sz w:val="28"/>
        </w:rPr>
      </w:pPr>
      <w:r>
        <w:rPr>
          <w:sz w:val="28"/>
        </w:rPr>
      </w:r>
    </w:p>
    <w:p>
      <w:pPr>
        <w:pStyle w:val="Normal"/>
        <w:numPr>
          <w:ilvl w:val="0"/>
          <w:numId w:val="1"/>
        </w:numPr>
        <w:jc w:val="both"/>
        <w:rPr>
          <w:sz w:val="28"/>
        </w:rPr>
      </w:pPr>
      <w:r>
        <w:rPr>
          <w:sz w:val="28"/>
        </w:rPr>
        <w:t xml:space="preserve">There is a new provision to define the proper subject of an ERO “organization standard.” Earlier versions did </w:t>
      </w:r>
      <w:r>
        <w:rPr>
          <w:sz w:val="28"/>
          <w:u w:val="single"/>
        </w:rPr>
        <w:t>not</w:t>
      </w:r>
      <w:r>
        <w:rPr>
          <w:sz w:val="28"/>
        </w:rPr>
        <w:t xml:space="preserve"> have a definition of “reliability” or “organization standard,” thus many criticized the earlier NERC legislation for not carefully circumscribing what subjects the ERO handles in its standard-setting (recommending) process.</w:t>
      </w:r>
    </w:p>
    <w:p>
      <w:pPr>
        <w:pStyle w:val="Normal"/>
        <w:jc w:val="both"/>
        <w:rPr>
          <w:sz w:val="28"/>
        </w:rPr>
      </w:pPr>
      <w:r>
        <w:rPr>
          <w:sz w:val="28"/>
        </w:rPr>
      </w:r>
    </w:p>
    <w:p>
      <w:pPr>
        <w:pStyle w:val="Normal"/>
        <w:numPr>
          <w:ilvl w:val="0"/>
          <w:numId w:val="1"/>
        </w:numPr>
        <w:jc w:val="both"/>
        <w:rPr>
          <w:sz w:val="28"/>
        </w:rPr>
      </w:pPr>
      <w:r>
        <w:rPr>
          <w:sz w:val="28"/>
        </w:rPr>
        <w:t xml:space="preserve">FERC selects only one ERO (if more than one entity applies); FERC also has authority over the ERO budget (NERC staff say they “assume” this will occur in the same manner as FERC does with GRI, as we suggested, but there is nothing in the legislation explicitly requiring this process); FERC must approve any organization standard, variance or entity rule; FERC must also approve any delegation of enforcement authority from the ERO to the ARREs (some delegations are mandatory for the ERO to propose to FERC; FERC </w:t>
      </w:r>
      <w:r>
        <w:rPr>
          <w:sz w:val="28"/>
          <w:u w:val="single"/>
        </w:rPr>
        <w:t>rebuttably</w:t>
      </w:r>
      <w:r>
        <w:rPr>
          <w:sz w:val="28"/>
        </w:rPr>
        <w:t xml:space="preserve"> presumes that a delegation on an inter-connection wide basis meets the law’s criteria – this is the “deference to the West.”)</w:t>
      </w:r>
    </w:p>
    <w:p>
      <w:pPr>
        <w:pStyle w:val="Normal"/>
        <w:jc w:val="both"/>
        <w:rPr>
          <w:sz w:val="28"/>
        </w:rPr>
      </w:pPr>
      <w:r>
        <w:rPr>
          <w:sz w:val="28"/>
        </w:rPr>
      </w:r>
    </w:p>
    <w:p>
      <w:pPr>
        <w:pStyle w:val="Normal"/>
        <w:numPr>
          <w:ilvl w:val="0"/>
          <w:numId w:val="1"/>
        </w:numPr>
        <w:jc w:val="both"/>
        <w:rPr>
          <w:sz w:val="28"/>
        </w:rPr>
      </w:pPr>
      <w:r>
        <w:rPr>
          <w:sz w:val="28"/>
        </w:rPr>
        <w:t>FERC cannot directly “amend” a proposed standard (I was told this is because the Canadians would object to FERC telling them what to do directly); however, FERC can remand a proposed standard to the ERO for a modification by a date certain.  The proposed standard is not implemented until the modification is made.  (In some cases, a proposed standard takes effect automatically if FERC fails to act on the proposed standard within a specified period of time.)</w:t>
      </w:r>
    </w:p>
    <w:p>
      <w:pPr>
        <w:pStyle w:val="Normal"/>
        <w:jc w:val="both"/>
        <w:rPr>
          <w:sz w:val="28"/>
        </w:rPr>
      </w:pPr>
      <w:r>
        <w:rPr>
          <w:sz w:val="28"/>
        </w:rPr>
      </w:r>
    </w:p>
    <w:p>
      <w:pPr>
        <w:pStyle w:val="Normal"/>
        <w:numPr>
          <w:ilvl w:val="0"/>
          <w:numId w:val="1"/>
        </w:numPr>
        <w:jc w:val="both"/>
        <w:rPr>
          <w:sz w:val="28"/>
        </w:rPr>
      </w:pPr>
      <w:r>
        <w:rPr>
          <w:sz w:val="28"/>
        </w:rPr>
        <w:t xml:space="preserve">The legislation would require FERC to give “due weight” to the ERO’s technical expertise on reliability, but </w:t>
      </w:r>
      <w:r>
        <w:rPr>
          <w:sz w:val="28"/>
          <w:u w:val="single"/>
        </w:rPr>
        <w:t>not</w:t>
      </w:r>
      <w:r>
        <w:rPr>
          <w:sz w:val="28"/>
        </w:rPr>
        <w:t xml:space="preserve"> give any deference to the ERO as to the impact of a proposed standard on competition.</w:t>
      </w:r>
      <w:r>
        <w:br w:type="page"/>
      </w:r>
    </w:p>
    <w:p>
      <w:pPr>
        <w:pStyle w:val="Normal"/>
        <w:jc w:val="both"/>
        <w:rPr>
          <w:sz w:val="28"/>
        </w:rPr>
      </w:pPr>
      <w:r>
        <w:rPr>
          <w:sz w:val="28"/>
        </w:rPr>
      </w:r>
    </w:p>
    <w:p>
      <w:pPr>
        <w:pStyle w:val="Normal"/>
        <w:numPr>
          <w:ilvl w:val="0"/>
          <w:numId w:val="1"/>
        </w:numPr>
        <w:jc w:val="both"/>
        <w:rPr>
          <w:sz w:val="28"/>
        </w:rPr>
      </w:pPr>
      <w:r>
        <w:rPr>
          <w:sz w:val="28"/>
        </w:rPr>
        <w:t>The “old” NERC legislation had a troubling “transition period” provision that would have allowed anyone, including NERC, to go directly to FERC to propose that one or more existing reliability standards be put in effect until the ERO is operational.  These “transition” rules would have stayed in effect until superseded by an ERO-developed standard.  This provision has been deleted from the “Final Draft” version now on the table.  (It was clear that regions would have used this authority to jump in with various region-specific proposals during the “transition.”)</w:t>
      </w:r>
    </w:p>
    <w:p>
      <w:pPr>
        <w:pStyle w:val="Normal"/>
        <w:jc w:val="both"/>
        <w:rPr>
          <w:sz w:val="28"/>
        </w:rPr>
      </w:pPr>
      <w:r>
        <w:rPr>
          <w:sz w:val="28"/>
        </w:rPr>
      </w:r>
    </w:p>
    <w:p>
      <w:pPr>
        <w:pStyle w:val="Normal"/>
        <w:numPr>
          <w:ilvl w:val="0"/>
          <w:numId w:val="1"/>
        </w:numPr>
        <w:jc w:val="both"/>
        <w:rPr>
          <w:sz w:val="28"/>
        </w:rPr>
      </w:pPr>
      <w:r>
        <w:rPr>
          <w:sz w:val="28"/>
        </w:rPr>
        <w:t xml:space="preserve">The “old” NERC legislation had an “open ended” emergency powers provision that would have allowed the ERO and the ARREs to act when they felt there was an undefined “emergency.”  This has been </w:t>
      </w:r>
      <w:r>
        <w:rPr>
          <w:sz w:val="28"/>
          <w:u w:val="single"/>
        </w:rPr>
        <w:t>deleted</w:t>
      </w:r>
      <w:r>
        <w:rPr>
          <w:sz w:val="28"/>
        </w:rPr>
        <w:t xml:space="preserve"> from the “Final Draft” version.</w:t>
      </w:r>
    </w:p>
    <w:p>
      <w:pPr>
        <w:pStyle w:val="Normal"/>
        <w:jc w:val="both"/>
        <w:rPr>
          <w:sz w:val="28"/>
        </w:rPr>
      </w:pPr>
      <w:r>
        <w:rPr>
          <w:sz w:val="28"/>
        </w:rPr>
      </w:r>
    </w:p>
    <w:p>
      <w:pPr>
        <w:pStyle w:val="Normal"/>
        <w:numPr>
          <w:ilvl w:val="0"/>
          <w:numId w:val="1"/>
        </w:numPr>
        <w:jc w:val="both"/>
        <w:rPr>
          <w:sz w:val="28"/>
        </w:rPr>
      </w:pPr>
      <w:r>
        <w:rPr>
          <w:sz w:val="28"/>
        </w:rPr>
        <w:t>Based on what I know at the present time, there is nothing in the “Final Draft” legislation that would prevent the GISB/EISB entity (in formation) from applying to be the ERO were this legislation to become law (but the criteria for the ERO selection by FERC should be scrubbed for any hidden limitations that would alter this answer).</w:t>
      </w:r>
    </w:p>
    <w:p>
      <w:pPr>
        <w:pStyle w:val="Normal"/>
        <w:jc w:val="both"/>
        <w:rPr>
          <w:sz w:val="28"/>
        </w:rPr>
      </w:pPr>
      <w:r>
        <w:rPr>
          <w:sz w:val="28"/>
        </w:rPr>
      </w:r>
    </w:p>
    <w:p>
      <w:pPr>
        <w:pStyle w:val="Normal"/>
        <w:numPr>
          <w:ilvl w:val="0"/>
          <w:numId w:val="1"/>
        </w:numPr>
        <w:jc w:val="both"/>
        <w:rPr>
          <w:sz w:val="28"/>
        </w:rPr>
      </w:pPr>
      <w:r>
        <w:rPr>
          <w:sz w:val="28"/>
        </w:rPr>
        <w:t>There is a mechanism for ARREs to appeal to FERC if the ERO fails to grant a variance or to enter into a delegation agreement – but the decision on appeal is up to FERC.</w:t>
      </w:r>
    </w:p>
    <w:p>
      <w:pPr>
        <w:pStyle w:val="Normal"/>
        <w:jc w:val="both"/>
        <w:rPr>
          <w:sz w:val="28"/>
        </w:rPr>
      </w:pPr>
      <w:r>
        <w:rPr>
          <w:sz w:val="28"/>
        </w:rPr>
      </w:r>
    </w:p>
    <w:p>
      <w:pPr>
        <w:pStyle w:val="Normal"/>
        <w:numPr>
          <w:ilvl w:val="0"/>
          <w:numId w:val="1"/>
        </w:numPr>
        <w:jc w:val="both"/>
        <w:rPr>
          <w:sz w:val="28"/>
        </w:rPr>
      </w:pPr>
      <w:r>
        <w:rPr>
          <w:sz w:val="28"/>
        </w:rPr>
        <w:t>There is a new provision requiring FERC to assure coordination between RTOs and the ERO.</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2001-08-10T17:30:00Z</dcterms:created>
  <dc:creator>JSHELK</dc:creator>
  <dc:description/>
  <dc:language>en-CA</dc:language>
  <cp:lastModifiedBy>JSHELK</cp:lastModifiedBy>
  <cp:lastPrinted>2001-08-10T15:34:00Z</cp:lastPrinted>
  <dcterms:modified xsi:type="dcterms:W3CDTF">2001-08-10T18:13:00Z</dcterms:modified>
  <cp:revision>3</cp:revision>
  <dc:subject/>
  <dc:title>Summary of “Final Draft” of NERC Legislation</dc:title>
</cp:coreProperties>
</file>