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center"/>
        <w:rPr>
          <w:u w:val="single"/>
        </w:rPr>
      </w:pPr>
      <w:r>
        <w:rPr>
          <w:u w:val="single"/>
        </w:rPr>
        <w:t>SUMMARY OF FOREIGN COUNSEL’S ADVICE - TRADING VIA ENRONONLINE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China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OTC forwards from an overseas base.  Await advice in relation to other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Natural gas:  cannot trade, foreign participation prohibited.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Electric power:  cannot trade, foreign participation prohibited.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 of metal, coal and oil.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Greece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commodity derivatives but need permission to solicit within Greece.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Physical trading of electricity and gas not permitted.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 of metal, coal and oil.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Hong Kong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OTC commodity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Physical trading of electricity, gas, oil and metal may require various licenses.  The obtaining of licenses relating to electricity trading will be difficult owing to two companies having a monopoly on provision.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Israel (Robert Quick)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commodity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Insurance companies, pension funds and municipalities should be excluded.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Israeli counterparties would need to provide evidence of exchange control approval in advance of transactions.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trading: expected to be completed by 8 October.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Russia (Robert Quick)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in commodities and commodity derivatives, but there licensing requirements for power, scrap metal and gas. However, there are no licence requirements for non-ferrous metals, oil and coal.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Cash settled derivatives could be regarded as unenforceable gaming contracts under Russian law.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Central  Bank Licence needed for exchange control purposes.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South Africa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commodity and weather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physical non-ferrous metals and coal.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South African counterparties would need to provide evidence of exchange control approval in advance of transactions.</w:t>
      </w:r>
    </w:p>
    <w:p>
      <w:pPr>
        <w:pStyle w:val="Level1"/>
        <w:numPr>
          <w:ilvl w:val="0"/>
          <w:numId w:val="22"/>
        </w:numPr>
        <w:ind w:hanging="0" w:start="0"/>
        <w:rPr/>
      </w:pPr>
      <w:r>
        <w:rPr/>
        <w:t>Turkey (Justin Boyd)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Free to trade commodity derivatives.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Await advice in relation to physical trading.</w:t>
      </w:r>
    </w:p>
    <w:p>
      <w:pPr>
        <w:pStyle w:val="Bullet2"/>
        <w:numPr>
          <w:ilvl w:val="0"/>
          <w:numId w:val="23"/>
        </w:numPr>
        <w:ind w:hanging="0" w:start="0"/>
        <w:rPr/>
      </w:pPr>
      <w:r>
        <w:rPr/>
        <w:t>ETA &amp; PA will need to be adapted to take account of Turkish law.</w:t>
      </w:r>
    </w:p>
    <w:p>
      <w:pPr>
        <w:pStyle w:val="Bullet2"/>
        <w:numPr>
          <w:ilvl w:val="0"/>
          <w:numId w:val="0"/>
        </w:numPr>
        <w:ind w:hanging="0" w:start="0"/>
        <w:rPr>
          <w:b/>
          <w:bCs/>
          <w:sz w:val="22"/>
        </w:rPr>
      </w:pPr>
      <w:r>
        <w:rPr>
          <w:b/>
          <w:bCs/>
          <w:sz w:val="22"/>
        </w:rPr>
        <w:t>8</w:t>
        <w:tab/>
        <w:t>Latvia (Robert Quick)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Free to trade commodity derivatives.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Banks and insurance companies should be excluded.</w:t>
      </w:r>
    </w:p>
    <w:p>
      <w:pPr>
        <w:pStyle w:val="Bullet2"/>
        <w:numPr>
          <w:ilvl w:val="0"/>
          <w:numId w:val="0"/>
        </w:numPr>
        <w:ind w:hanging="0" w:start="0"/>
        <w:rPr>
          <w:sz w:val="22"/>
        </w:rPr>
      </w:pPr>
      <w:r>
        <w:rPr>
          <w:b/>
          <w:bCs/>
          <w:sz w:val="22"/>
        </w:rPr>
        <w:t>9</w:t>
        <w:tab/>
        <w:t>Taiwan (Matt Lee, Singapore)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Generally free to trade physical/derivatives oil and metals.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Certain commodities may be restricted/prohibited.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It is the importer’s responsibility to obtain requisite approval.  Import permit is required for the import of petroleum, gasoline, light oil, aviation fuel, kerosene or diesel.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No import permit is required for:</w:t>
      </w:r>
    </w:p>
    <w:p>
      <w:pPr>
        <w:pStyle w:val="Level4"/>
        <w:numPr>
          <w:ilvl w:val="3"/>
          <w:numId w:val="22"/>
        </w:numPr>
        <w:tabs>
          <w:tab w:val="clear" w:pos="567"/>
          <w:tab w:val="left" w:pos="1440" w:leader="none"/>
        </w:tabs>
        <w:ind w:hanging="1732" w:start="2722" w:end="0"/>
        <w:rPr/>
      </w:pPr>
      <w:r>
        <w:rPr/>
        <w:t>aluminium (not alloyed and unwrought);</w:t>
      </w:r>
    </w:p>
    <w:p>
      <w:pPr>
        <w:pStyle w:val="Level4"/>
        <w:numPr>
          <w:ilvl w:val="3"/>
          <w:numId w:val="22"/>
        </w:numPr>
        <w:tabs>
          <w:tab w:val="clear" w:pos="567"/>
          <w:tab w:val="left" w:pos="1440" w:leader="none"/>
        </w:tabs>
        <w:ind w:hanging="1732" w:start="2722" w:end="0"/>
        <w:rPr/>
      </w:pPr>
      <w:r>
        <w:rPr/>
        <w:t>nickel (unwrought), nickel powders, flakes, bars and rods;</w:t>
      </w:r>
    </w:p>
    <w:p>
      <w:pPr>
        <w:pStyle w:val="Level4"/>
        <w:numPr>
          <w:ilvl w:val="3"/>
          <w:numId w:val="22"/>
        </w:numPr>
        <w:tabs>
          <w:tab w:val="clear" w:pos="567"/>
          <w:tab w:val="left" w:pos="1440" w:leader="none"/>
        </w:tabs>
        <w:ind w:hanging="1732" w:start="2722" w:end="0"/>
        <w:rPr/>
      </w:pPr>
      <w:r>
        <w:rPr/>
        <w:t>tin (not alloyed and unwrought), and tin bars and rods;</w:t>
      </w:r>
    </w:p>
    <w:p>
      <w:pPr>
        <w:pStyle w:val="Level4"/>
        <w:numPr>
          <w:ilvl w:val="3"/>
          <w:numId w:val="22"/>
        </w:numPr>
        <w:tabs>
          <w:tab w:val="clear" w:pos="567"/>
          <w:tab w:val="left" w:pos="1440" w:leader="none"/>
        </w:tabs>
        <w:ind w:hanging="1732" w:start="2722" w:end="0"/>
        <w:rPr/>
      </w:pPr>
      <w:r>
        <w:rPr/>
        <w:t>copper ores and concentrates, copper oxides and copper hydroxides; and</w:t>
      </w:r>
    </w:p>
    <w:p>
      <w:pPr>
        <w:pStyle w:val="Level4"/>
        <w:numPr>
          <w:ilvl w:val="3"/>
          <w:numId w:val="22"/>
        </w:numPr>
        <w:tabs>
          <w:tab w:val="clear" w:pos="567"/>
          <w:tab w:val="left" w:pos="1440" w:leader="none"/>
        </w:tabs>
        <w:ind w:hanging="1732" w:start="2722" w:end="0"/>
        <w:rPr/>
      </w:pPr>
      <w:r>
        <w:rPr/>
        <w:t>zinc (not alloyed) ores and concentrates, hard zinc spelter.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Local counterparties are permitted to purchase USD 50 million each calendar year beyond which Central Bank approval required on a case by base basis.</w:t>
      </w:r>
    </w:p>
    <w:p>
      <w:pPr>
        <w:pStyle w:val="Bullet2"/>
        <w:numPr>
          <w:ilvl w:val="0"/>
          <w:numId w:val="9"/>
        </w:numPr>
        <w:tabs>
          <w:tab w:val="clear" w:pos="567"/>
          <w:tab w:val="left" w:pos="927" w:leader="none"/>
        </w:tabs>
        <w:ind w:hanging="360" w:start="927" w:end="0"/>
        <w:rPr/>
      </w:pPr>
      <w:r>
        <w:rPr/>
        <w:t>Possible withholding tax impact (up to 20%) on derivatives income.</w:t>
      </w:r>
    </w:p>
    <w:p>
      <w:pPr>
        <w:pStyle w:val="Bullet2"/>
        <w:numPr>
          <w:ilvl w:val="0"/>
          <w:numId w:val="0"/>
        </w:numPr>
        <w:ind w:hanging="0" w:start="0"/>
        <w:rPr>
          <w:b/>
          <w:bCs/>
          <w:sz w:val="22"/>
        </w:rPr>
      </w:pPr>
      <w:r>
        <w:rPr>
          <w:b/>
          <w:bCs/>
          <w:sz w:val="22"/>
        </w:rPr>
        <w:t>10</w:t>
        <w:tab/>
        <w:t>Korea (Matt Lee, Singapore)</w:t>
      </w:r>
    </w:p>
    <w:p>
      <w:pPr>
        <w:pStyle w:val="Bullet2"/>
        <w:numPr>
          <w:ilvl w:val="0"/>
          <w:numId w:val="14"/>
        </w:numPr>
        <w:tabs>
          <w:tab w:val="clear" w:pos="567"/>
          <w:tab w:val="left" w:pos="900" w:leader="none"/>
        </w:tabs>
        <w:ind w:hanging="180" w:start="720" w:end="0"/>
        <w:rPr/>
      </w:pPr>
      <w:r>
        <w:rPr/>
        <w:t>Financial derivatives require prior approval from the Central Bank.</w:t>
      </w:r>
    </w:p>
    <w:p>
      <w:pPr>
        <w:pStyle w:val="Bullet2"/>
        <w:numPr>
          <w:ilvl w:val="0"/>
          <w:numId w:val="14"/>
        </w:numPr>
        <w:tabs>
          <w:tab w:val="clear" w:pos="567"/>
          <w:tab w:val="left" w:pos="900" w:leader="none"/>
        </w:tabs>
        <w:ind w:hanging="180" w:start="720" w:end="0"/>
        <w:rPr/>
      </w:pPr>
      <w:r>
        <w:rPr/>
        <w:t>Commodity derivatives require prior reporting to the Central Bank.</w:t>
      </w:r>
    </w:p>
    <w:p>
      <w:pPr>
        <w:pStyle w:val="Bullet2"/>
        <w:numPr>
          <w:ilvl w:val="0"/>
          <w:numId w:val="14"/>
        </w:numPr>
        <w:tabs>
          <w:tab w:val="clear" w:pos="567"/>
          <w:tab w:val="left" w:pos="900" w:leader="none"/>
        </w:tabs>
        <w:ind w:hanging="360" w:start="900" w:end="0"/>
        <w:rPr/>
      </w:pPr>
      <w:r>
        <w:rPr/>
        <w:t>Korean Electronic Transactions Basic Law and Standardized Contract Regulation Law may require amendments to ETA.  Await advice on specific amendments.</w:t>
      </w:r>
    </w:p>
    <w:p>
      <w:pPr>
        <w:pStyle w:val="Bullet2"/>
        <w:numPr>
          <w:ilvl w:val="0"/>
          <w:numId w:val="14"/>
        </w:numPr>
        <w:tabs>
          <w:tab w:val="clear" w:pos="567"/>
          <w:tab w:val="left" w:pos="900" w:leader="none"/>
        </w:tabs>
        <w:spacing w:before="0" w:after="140"/>
        <w:ind w:hanging="360" w:start="900" w:end="0"/>
        <w:rPr/>
      </w:pPr>
      <w:r>
        <w:rPr/>
        <w:t>Await specific advice on metals physical and derivatives trading.</w:t>
      </w:r>
    </w:p>
    <w:sectPr>
      <w:footerReference w:type="default" r:id="rId2"/>
      <w:type w:val="nextPage"/>
      <w:pgSz w:w="11906" w:h="16838"/>
      <w:pgMar w:left="1588" w:right="1588" w:gutter="0" w:header="0" w:top="1701" w:footer="482" w:bottom="130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rPr>
        <w:sz w:val="17"/>
      </w:rPr>
    </w:pPr>
    <w:r>
      <w:rPr>
        <w:sz w:val="17"/>
      </w:rPr>
      <w:t>EOL/summaryforeign counsel280900.doc</w:t>
    </w:r>
  </w:p>
  <w:p>
    <w:pPr>
      <w:pStyle w:val="Normal"/>
      <w:pBdr>
        <w:top w:val="single" w:sz="4" w:space="1" w:color="000000"/>
      </w:pBdr>
      <w:rPr>
        <w:sz w:val="17"/>
      </w:rPr>
    </w:pPr>
    <w:r>
      <w:rPr>
        <w:sz w:val="17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567"/>
        </w:tabs>
        <w:ind w:start="567" w:hanging="567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none"/>
      <w:suff w:val="nothing"/>
      <w:lvlText w:val=""/>
      <w:lvlJc w:val="start"/>
      <w:pPr>
        <w:ind w:start="32767" w:hanging="0"/>
      </w:pPr>
    </w:lvl>
    <w:lvl w:ilvl="7">
      <w:start w:val="1"/>
      <w:numFmt w:val="none"/>
      <w:suff w:val="nothing"/>
      <w:lvlText w:val=""/>
      <w:lvlJc w:val="start"/>
      <w:pPr>
        <w:ind w:start="32767" w:hanging="0"/>
      </w:pPr>
    </w:lvl>
    <w:lvl w:ilvl="8">
      <w:start w:val="1"/>
      <w:numFmt w:val="none"/>
      <w:suff w:val="nothing"/>
      <w:lvlText w:val=""/>
      <w:lvlJc w:val="start"/>
      <w:pPr>
        <w:ind w:start="32767" w:hanging="0"/>
      </w:pPr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969"/>
        </w:tabs>
        <w:ind w:start="3969" w:hanging="68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2722"/>
        </w:tabs>
        <w:ind w:start="2722" w:hanging="681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041"/>
        </w:tabs>
        <w:ind w:start="2041" w:hanging="794"/>
      </w:pPr>
      <w:rPr>
        <w:rFonts w:ascii="Symbol" w:hAnsi="Symbol" w:cs="Symbol" w:hint="default"/>
      </w:rPr>
    </w:lvl>
  </w:abstractNum>
  <w:abstractNum w:abstractNumId="13">
    <w:lvl w:ilvl="0">
      <w:start w:val="1"/>
      <w:numFmt w:val="lowerLetter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567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  <w:lvl w:ilvl="2">
      <w:start w:val="1"/>
      <w:numFmt w:val="lowerRoman"/>
      <w:lvlText w:val="(%3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  <w:lvl w:ilvl="3">
      <w:start w:val="1"/>
      <w:numFmt w:val="upperLetter"/>
      <w:lvlText w:val="(%4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none"/>
      <w:suff w:val="nothing"/>
      <w:lvlText w:val=""/>
      <w:lvlJc w:val="start"/>
      <w:pPr>
        <w:tabs>
          <w:tab w:val="num" w:pos="2608"/>
        </w:tabs>
        <w:ind w:start="2608" w:hanging="567"/>
      </w:pPr>
    </w:lvl>
    <w:lvl w:ilvl="5">
      <w:start w:val="1"/>
      <w:numFmt w:val="none"/>
      <w:suff w:val="nothing"/>
      <w:lvlText w:val=""/>
      <w:lvlJc w:val="start"/>
      <w:pPr>
        <w:tabs>
          <w:tab w:val="num" w:pos="3289"/>
        </w:tabs>
        <w:ind w:start="3289" w:hanging="681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289"/>
        </w:tabs>
        <w:ind w:start="3289" w:hanging="56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(%1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8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1418"/>
        </w:tabs>
        <w:ind w:start="1418" w:hanging="567"/>
      </w:pPr>
      <w:rPr>
        <w:rFonts w:ascii="Symbol" w:hAnsi="Symbol" w:cs="Symbol" w:hint="default"/>
      </w:rPr>
    </w:lvl>
  </w:abstractNum>
  <w:abstractNum w:abstractNumId="20">
    <w:lvl w:ilvl="0">
      <w:start w:val="1"/>
      <w:numFmt w:val="lowerRoman"/>
      <w:lvlText w:val="(%1)"/>
      <w:lvlJc w:val="start"/>
      <w:pPr>
        <w:tabs>
          <w:tab w:val="num" w:pos="2722"/>
        </w:tabs>
        <w:ind w:start="2722" w:hanging="681"/>
      </w:pPr>
      <w:rPr>
        <w:sz w:val="20"/>
        <w:i w:val="false"/>
        <w:b w:val="false"/>
        <w:rFonts w:ascii="Arial" w:hAnsi="Arial" w:cs="Arial"/>
      </w:rPr>
    </w:lvl>
  </w:abstractNum>
  <w:abstractNum w:abstractNumId="21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2">
    <w:lvl w:ilvl="0">
      <w:start w:val="1"/>
      <w:numFmt w:val="decimal"/>
      <w:lvlText w:val="%1"/>
      <w:lvlJc w:val="start"/>
      <w:pPr>
        <w:tabs>
          <w:tab w:val="num" w:pos="567"/>
        </w:tabs>
        <w:ind w:start="567" w:hanging="567"/>
      </w:pPr>
      <w:rPr>
        <w:sz w:val="22"/>
        <w:i w:val="false"/>
        <w:b/>
        <w:rFonts w:ascii="Arial" w:hAnsi="Arial" w:cs="Arial"/>
      </w:rPr>
    </w:lvl>
    <w:lvl w:ilvl="1">
      <w:start w:val="1"/>
      <w:numFmt w:val="decimal"/>
      <w:lvlText w:val="%1.%2"/>
      <w:lvlJc w:val="start"/>
      <w:pPr>
        <w:tabs>
          <w:tab w:val="num" w:pos="1247"/>
        </w:tabs>
        <w:ind w:start="1247" w:hanging="680"/>
      </w:pPr>
      <w:rPr>
        <w:sz w:val="21"/>
        <w:i w:val="false"/>
        <w:b/>
        <w:rFonts w:ascii="Arial" w:hAnsi="Arial" w:cs="Arial"/>
      </w:rPr>
    </w:lvl>
    <w:lvl w:ilvl="2">
      <w:start w:val="1"/>
      <w:numFmt w:val="decimal"/>
      <w:lvlText w:val="%1.%2.%3"/>
      <w:lvlJc w:val="start"/>
      <w:pPr>
        <w:tabs>
          <w:tab w:val="num" w:pos="2041"/>
        </w:tabs>
        <w:ind w:start="2041" w:hanging="794"/>
      </w:pPr>
      <w:rPr>
        <w:sz w:val="17"/>
        <w:i w:val="false"/>
        <w:b/>
        <w:rFonts w:ascii="Arial" w:hAnsi="Arial" w:cs="Arial"/>
      </w:rPr>
    </w:lvl>
    <w:lvl w:ilvl="3">
      <w:start w:val="1"/>
      <w:numFmt w:val="lowerRoman"/>
      <w:lvlText w:val="(%4)"/>
      <w:lvlJc w:val="start"/>
      <w:pPr>
        <w:tabs>
          <w:tab w:val="num" w:pos="567"/>
        </w:tabs>
        <w:ind w:start="2722" w:hanging="681"/>
      </w:pPr>
      <w:rPr>
        <w:sz w:val="20"/>
        <w:i w:val="false"/>
        <w:b w:val="false"/>
        <w:rFonts w:ascii="Arial" w:hAnsi="Arial" w:cs="Arial"/>
      </w:rPr>
    </w:lvl>
    <w:lvl w:ilvl="4">
      <w:start w:val="1"/>
      <w:numFmt w:val="lowerLetter"/>
      <w:lvlText w:val="(%5)"/>
      <w:lvlJc w:val="start"/>
      <w:pPr>
        <w:tabs>
          <w:tab w:val="num" w:pos="3289"/>
        </w:tabs>
        <w:ind w:start="3289" w:hanging="567"/>
      </w:pPr>
      <w:rPr>
        <w:sz w:val="20"/>
        <w:i w:val="false"/>
        <w:b w:val="false"/>
        <w:rFonts w:ascii="Arial" w:hAnsi="Arial" w:cs="Arial"/>
      </w:rPr>
    </w:lvl>
    <w:lvl w:ilvl="5">
      <w:start w:val="1"/>
      <w:numFmt w:val="upperRoman"/>
      <w:lvlText w:val="(%6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1247"/>
        </w:tabs>
        <w:ind w:start="1247" w:hanging="680"/>
      </w:pPr>
      <w:rPr>
        <w:rFonts w:ascii="Symbol" w:hAnsi="Symbol" w:cs="Symbol" w:hint="default"/>
      </w:rPr>
    </w:lvl>
  </w:abstractNum>
  <w:abstractNum w:abstractNumId="24">
    <w:lvl w:ilvl="0">
      <w:start w:val="1"/>
      <w:numFmt w:val="lowerRoman"/>
      <w:lvlText w:val="(%1)"/>
      <w:lvlJc w:val="start"/>
      <w:pPr>
        <w:tabs>
          <w:tab w:val="num" w:pos="2041"/>
        </w:tabs>
        <w:ind w:start="2041" w:hanging="794"/>
      </w:pPr>
      <w:rPr>
        <w:sz w:val="20"/>
        <w:i w:val="false"/>
        <w:b w:val="false"/>
        <w:rFonts w:ascii="Arial" w:hAnsi="Arial" w:cs="Arial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  <w:sz w:val="20"/>
        <w:i w:val="false"/>
        <w:b w:val="false"/>
      </w:rPr>
    </w:lvl>
  </w:abstractNum>
  <w:abstractNum w:abstractNumId="26">
    <w:lvl w:ilvl="0">
      <w:start w:val="1"/>
      <w:numFmt w:val="lowerRoman"/>
      <w:lvlText w:val="(%1)"/>
      <w:lvlJc w:val="start"/>
      <w:pPr>
        <w:tabs>
          <w:tab w:val="num" w:pos="720"/>
        </w:tabs>
        <w:ind w:start="567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2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>
        <w:sz w:val="20"/>
        <w:i w:val="false"/>
        <w:b/>
        <w:rFonts w:ascii="Arial" w:hAnsi="Arial" w:cs="Arial"/>
      </w:rPr>
    </w:lvl>
  </w:abstractNum>
  <w:abstractNum w:abstractNumId="28">
    <w:lvl w:ilvl="0">
      <w:start w:val="1"/>
      <w:numFmt w:val="lowerRoman"/>
      <w:lvlText w:val="(%1)"/>
      <w:lvlJc w:val="start"/>
      <w:pPr>
        <w:tabs>
          <w:tab w:val="num" w:pos="3969"/>
        </w:tabs>
        <w:ind w:start="3969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29">
    <w:lvl w:ilvl="0">
      <w:start w:val="1"/>
      <w:numFmt w:val="lowerLetter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abstractNum w:abstractNumId="30">
    <w:lvl w:ilvl="0">
      <w:start w:val="1"/>
      <w:numFmt w:val="lowerRoman"/>
      <w:lvlText w:val="(%1)"/>
      <w:lvlJc w:val="start"/>
      <w:pPr>
        <w:tabs>
          <w:tab w:val="num" w:pos="3442"/>
        </w:tabs>
        <w:ind w:start="3289" w:hanging="567"/>
      </w:pPr>
      <w:rPr>
        <w:sz w:val="20"/>
        <w:i w:val="false"/>
        <w:b w:val="false"/>
        <w:rFonts w:ascii="Arial" w:hAnsi="Arial" w:cs="Arial"/>
      </w:rPr>
    </w:lvl>
  </w:abstractNum>
  <w:abstractNum w:abstractNumId="31">
    <w:lvl w:ilvl="0">
      <w:start w:val="1"/>
      <w:numFmt w:val="lowerRoman"/>
      <w:lvlText w:val="(%1)"/>
      <w:lvlJc w:val="start"/>
      <w:pPr>
        <w:tabs>
          <w:tab w:val="num" w:pos="1247"/>
        </w:tabs>
        <w:ind w:start="1247" w:hanging="680"/>
      </w:pPr>
      <w:rPr>
        <w:sz w:val="20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/>
      <w:outlineLvl w:val="0"/>
    </w:pPr>
    <w:rPr>
      <w:kern w:val="2"/>
      <w:lang w:val="en-GB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>
      <w:kern w:val="2"/>
      <w:lang w:val="en-GB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240"/>
      <w:outlineLvl w:val="2"/>
    </w:pPr>
    <w:rPr>
      <w:kern w:val="2"/>
      <w:lang w:val="en-GB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lineRule="auto" w:line="240"/>
      <w:outlineLvl w:val="3"/>
    </w:pPr>
    <w:rPr>
      <w:kern w:val="2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240"/>
      <w:outlineLvl w:val="4"/>
    </w:pPr>
    <w:rPr>
      <w:kern w:val="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uto" w:line="240"/>
      <w:outlineLvl w:val="5"/>
    </w:pPr>
    <w:rPr>
      <w:kern w:val="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lineRule="auto" w:line="240"/>
      <w:outlineLvl w:val="6"/>
    </w:pPr>
    <w:rPr>
      <w:kern w:val="2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uto" w:line="240"/>
      <w:outlineLvl w:val="7"/>
    </w:pPr>
    <w:rPr>
      <w:kern w:val="2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kern w:val="2"/>
      <w:lang w:val="en-GB"/>
    </w:rPr>
  </w:style>
  <w:style w:type="character" w:styleId="WW8Num1z0">
    <w:name w:val="WW8Num1z0"/>
    <w:qFormat/>
    <w:rPr>
      <w:b/>
      <w:i w:val="false"/>
    </w:rPr>
  </w:style>
  <w:style w:type="character" w:styleId="WW8Num1z1">
    <w:name w:val="WW8Num1z1"/>
    <w:qFormat/>
    <w:rPr/>
  </w:style>
  <w:style w:type="character" w:styleId="WW8Num1z4">
    <w:name w:val="WW8Num1z4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Arial" w:hAnsi="Arial" w:cs="Arial"/>
      <w:b/>
      <w:i w:val="false"/>
      <w:sz w:val="22"/>
    </w:rPr>
  </w:style>
  <w:style w:type="character" w:styleId="WW8Num5z1">
    <w:name w:val="WW8Num5z1"/>
    <w:qFormat/>
    <w:rPr>
      <w:rFonts w:ascii="Arial" w:hAnsi="Arial" w:cs="Arial"/>
      <w:b/>
      <w:i w:val="false"/>
      <w:sz w:val="21"/>
    </w:rPr>
  </w:style>
  <w:style w:type="character" w:styleId="WW8Num5z2">
    <w:name w:val="WW8Num5z2"/>
    <w:qFormat/>
    <w:rPr>
      <w:rFonts w:ascii="Arial" w:hAnsi="Arial" w:cs="Arial"/>
      <w:b/>
      <w:i w:val="false"/>
      <w:sz w:val="17"/>
    </w:rPr>
  </w:style>
  <w:style w:type="character" w:styleId="WW8Num5z3">
    <w:name w:val="WW8Num5z3"/>
    <w:qFormat/>
    <w:rPr>
      <w:rFonts w:ascii="Arial" w:hAnsi="Arial" w:cs="Arial"/>
      <w:b w:val="false"/>
      <w:i w:val="false"/>
      <w:sz w:val="20"/>
    </w:rPr>
  </w:style>
  <w:style w:type="character" w:styleId="WW8Num6z0">
    <w:name w:val="WW8Num6z0"/>
    <w:qFormat/>
    <w:rPr>
      <w:rFonts w:ascii="Arial" w:hAnsi="Arial" w:cs="Arial"/>
      <w:b/>
      <w:i w:val="false"/>
      <w:sz w:val="21"/>
    </w:rPr>
  </w:style>
  <w:style w:type="character" w:styleId="WW8Num6z1">
    <w:name w:val="WW8Num6z1"/>
    <w:qFormat/>
    <w:rPr>
      <w:rFonts w:ascii="Arial" w:hAnsi="Arial" w:cs="Arial"/>
      <w:b/>
      <w:i w:val="false"/>
      <w:sz w:val="20"/>
    </w:rPr>
  </w:style>
  <w:style w:type="character" w:styleId="WW8Num6z2">
    <w:name w:val="WW8Num6z2"/>
    <w:qFormat/>
    <w:rPr>
      <w:b/>
      <w:i w:val="false"/>
      <w:sz w:val="17"/>
    </w:rPr>
  </w:style>
  <w:style w:type="character" w:styleId="WW8Num7z0">
    <w:name w:val="WW8Num7z0"/>
    <w:qFormat/>
    <w:rPr>
      <w:rFonts w:ascii="Arial" w:hAnsi="Arial" w:cs="Arial"/>
      <w:b w:val="false"/>
      <w:i w:val="false"/>
      <w:sz w:val="20"/>
    </w:rPr>
  </w:style>
  <w:style w:type="character" w:styleId="WW8Num8z0">
    <w:name w:val="WW8Num8z0"/>
    <w:qFormat/>
    <w:rPr>
      <w:rFonts w:ascii="Arial" w:hAnsi="Arial" w:cs="Arial"/>
      <w:b/>
      <w:i w:val="false"/>
      <w:sz w:val="20"/>
    </w:rPr>
  </w:style>
  <w:style w:type="character" w:styleId="WW8Num8z2">
    <w:name w:val="WW8Num8z2"/>
    <w:qFormat/>
    <w:rPr>
      <w:rFonts w:ascii="Arial" w:hAnsi="Arial" w:cs="Arial"/>
      <w:b/>
      <w:i w:val="false"/>
      <w:sz w:val="17"/>
    </w:rPr>
  </w:style>
  <w:style w:type="character" w:styleId="WW8Num8z3">
    <w:name w:val="WW8Num8z3"/>
    <w:qFormat/>
    <w:rPr>
      <w:rFonts w:ascii="Arial" w:hAnsi="Arial" w:cs="Arial"/>
      <w:b w:val="false"/>
      <w:i w:val="false"/>
      <w:sz w:val="20"/>
    </w:rPr>
  </w:style>
  <w:style w:type="character" w:styleId="WW8Num9z0">
    <w:name w:val="WW8Num9z0"/>
    <w:qFormat/>
    <w:rPr>
      <w:rFonts w:ascii="Arial" w:hAnsi="Arial" w:cs="Arial"/>
      <w:b w:val="false"/>
      <w:i w:val="false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b/>
      <w:i w:val="fals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b/>
      <w:i w:val="false"/>
      <w:sz w:val="20"/>
    </w:rPr>
  </w:style>
  <w:style w:type="character" w:styleId="WW8Num16z0">
    <w:name w:val="WW8Num16z0"/>
    <w:qFormat/>
    <w:rPr>
      <w:rFonts w:ascii="Arial" w:hAnsi="Arial" w:cs="Arial"/>
      <w:b w:val="false"/>
      <w:i w:val="false"/>
      <w:sz w:val="20"/>
    </w:rPr>
  </w:style>
  <w:style w:type="character" w:styleId="WW8Num18z0">
    <w:name w:val="WW8Num18z0"/>
    <w:qFormat/>
    <w:rPr>
      <w:rFonts w:ascii="Arial" w:hAnsi="Arial" w:cs="Arial"/>
      <w:b w:val="false"/>
      <w:i w:val="false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Arial" w:hAnsi="Arial" w:cs="Arial"/>
      <w:b w:val="false"/>
      <w:i w:val="false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>
      <w:rFonts w:ascii="Arial" w:hAnsi="Arial" w:cs="Arial"/>
      <w:b w:val="false"/>
      <w:i w:val="false"/>
      <w:sz w:val="2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30z0">
    <w:name w:val="WW8Num30z0"/>
    <w:qFormat/>
    <w:rPr>
      <w:rFonts w:ascii="Arial" w:hAnsi="Arial" w:cs="Arial"/>
      <w:b/>
      <w:i w:val="false"/>
      <w:sz w:val="22"/>
    </w:rPr>
  </w:style>
  <w:style w:type="character" w:styleId="WW8Num30z1">
    <w:name w:val="WW8Num30z1"/>
    <w:qFormat/>
    <w:rPr>
      <w:rFonts w:ascii="Arial" w:hAnsi="Arial" w:cs="Arial"/>
      <w:b w:val="false"/>
      <w:i w:val="false"/>
      <w:sz w:val="20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Arial" w:hAnsi="Arial" w:cs="Arial"/>
      <w:b w:val="false"/>
      <w:i w:val="false"/>
      <w:sz w:val="20"/>
    </w:rPr>
  </w:style>
  <w:style w:type="character" w:styleId="WW8Num34z0">
    <w:name w:val="WW8Num34z0"/>
    <w:qFormat/>
    <w:rPr>
      <w:rFonts w:ascii="Arial" w:hAnsi="Arial" w:cs="Arial"/>
      <w:b w:val="false"/>
      <w:i w:val="false"/>
      <w:sz w:val="20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Arial" w:hAnsi="Arial" w:cs="Arial"/>
      <w:b/>
      <w:i w:val="false"/>
      <w:sz w:val="20"/>
    </w:rPr>
  </w:style>
  <w:style w:type="character" w:styleId="WW8Num36z1">
    <w:name w:val="WW8Num36z1"/>
    <w:qFormat/>
    <w:rPr>
      <w:rFonts w:ascii="Arial" w:hAnsi="Arial" w:cs="Arial"/>
      <w:b/>
      <w:i w:val="false"/>
      <w:sz w:val="19"/>
    </w:rPr>
  </w:style>
  <w:style w:type="character" w:styleId="WW8Num36z2">
    <w:name w:val="WW8Num36z2"/>
    <w:qFormat/>
    <w:rPr>
      <w:rFonts w:ascii="Arial" w:hAnsi="Arial" w:cs="Arial"/>
      <w:b w:val="false"/>
      <w:i w:val="false"/>
      <w:sz w:val="17"/>
    </w:rPr>
  </w:style>
  <w:style w:type="character" w:styleId="WW8Num37z0">
    <w:name w:val="WW8Num37z0"/>
    <w:qFormat/>
    <w:rPr>
      <w:rFonts w:ascii="Arial" w:hAnsi="Arial" w:cs="Arial"/>
      <w:b w:val="false"/>
      <w:i w:val="false"/>
      <w:sz w:val="20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Arial" w:hAnsi="Arial" w:cs="Arial"/>
      <w:b w:val="false"/>
      <w:i w:val="false"/>
      <w:sz w:val="20"/>
    </w:rPr>
  </w:style>
  <w:style w:type="character" w:styleId="WW8Num40z0">
    <w:name w:val="WW8Num40z0"/>
    <w:qFormat/>
    <w:rPr>
      <w:rFonts w:ascii="Arial" w:hAnsi="Arial" w:cs="Arial"/>
      <w:b w:val="false"/>
      <w:i w:val="false"/>
      <w:sz w:val="20"/>
    </w:rPr>
  </w:style>
  <w:style w:type="character" w:styleId="WW8Num41z0">
    <w:name w:val="WW8Num41z0"/>
    <w:qFormat/>
    <w:rPr>
      <w:rFonts w:ascii="Arial" w:hAnsi="Arial" w:cs="Arial"/>
      <w:b w:val="false"/>
      <w:i w:val="false"/>
      <w:sz w:val="20"/>
    </w:rPr>
  </w:style>
  <w:style w:type="character" w:styleId="WW8Num43z0">
    <w:name w:val="WW8Num43z0"/>
    <w:qFormat/>
    <w:rPr>
      <w:rFonts w:ascii="Arial" w:hAnsi="Arial" w:cs="Arial"/>
      <w:b w:val="false"/>
      <w:i w:val="false"/>
      <w:sz w:val="20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Arial" w:hAnsi="Arial" w:cs="Arial"/>
      <w:b/>
      <w:i w:val="false"/>
      <w:sz w:val="22"/>
    </w:rPr>
  </w:style>
  <w:style w:type="character" w:styleId="WW8Num46z1">
    <w:name w:val="WW8Num46z1"/>
    <w:qFormat/>
    <w:rPr>
      <w:rFonts w:ascii="Arial" w:hAnsi="Arial" w:cs="Arial"/>
      <w:b/>
      <w:i w:val="false"/>
      <w:sz w:val="21"/>
    </w:rPr>
  </w:style>
  <w:style w:type="character" w:styleId="WW8Num46z2">
    <w:name w:val="WW8Num46z2"/>
    <w:qFormat/>
    <w:rPr>
      <w:rFonts w:ascii="Arial" w:hAnsi="Arial" w:cs="Arial"/>
      <w:b/>
      <w:i w:val="false"/>
      <w:sz w:val="17"/>
    </w:rPr>
  </w:style>
  <w:style w:type="character" w:styleId="WW8Num46z3">
    <w:name w:val="WW8Num46z3"/>
    <w:qFormat/>
    <w:rPr>
      <w:rFonts w:ascii="Arial" w:hAnsi="Arial" w:cs="Arial"/>
      <w:b w:val="false"/>
      <w:i w:val="false"/>
      <w:sz w:val="20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Arial" w:hAnsi="Arial" w:cs="Arial"/>
      <w:b w:val="false"/>
      <w:i w:val="false"/>
      <w:sz w:val="20"/>
    </w:rPr>
  </w:style>
  <w:style w:type="character" w:styleId="WW8Num50z0">
    <w:name w:val="WW8Num50z0"/>
    <w:qFormat/>
    <w:rPr>
      <w:b/>
      <w:i w:val="false"/>
    </w:rPr>
  </w:style>
  <w:style w:type="character" w:styleId="WW8Num51z0">
    <w:name w:val="WW8Num51z0"/>
    <w:qFormat/>
    <w:rPr>
      <w:rFonts w:ascii="Symbol" w:hAnsi="Symbol" w:cs="Symbol"/>
      <w:b w:val="false"/>
      <w:i w:val="false"/>
      <w:sz w:val="20"/>
    </w:rPr>
  </w:style>
  <w:style w:type="character" w:styleId="WW8Num53z0">
    <w:name w:val="WW8Num53z0"/>
    <w:qFormat/>
    <w:rPr>
      <w:rFonts w:ascii="Arial" w:hAnsi="Arial" w:cs="Arial"/>
      <w:b w:val="false"/>
      <w:i w:val="false"/>
      <w:sz w:val="20"/>
    </w:rPr>
  </w:style>
  <w:style w:type="character" w:styleId="WW8Num55z0">
    <w:name w:val="WW8Num55z0"/>
    <w:qFormat/>
    <w:rPr>
      <w:rFonts w:ascii="Arial" w:hAnsi="Arial" w:cs="Arial"/>
      <w:b/>
      <w:i w:val="false"/>
      <w:sz w:val="20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Arial" w:hAnsi="Arial" w:cs="Arial"/>
      <w:b w:val="false"/>
      <w:i w:val="false"/>
      <w:sz w:val="20"/>
    </w:rPr>
  </w:style>
  <w:style w:type="character" w:styleId="WW8Num58z0">
    <w:name w:val="WW8Num58z0"/>
    <w:qFormat/>
    <w:rPr>
      <w:rFonts w:ascii="Arial" w:hAnsi="Arial" w:cs="Arial"/>
      <w:b/>
      <w:i w:val="false"/>
      <w:sz w:val="21"/>
    </w:rPr>
  </w:style>
  <w:style w:type="character" w:styleId="WW8Num58z1">
    <w:name w:val="WW8Num58z1"/>
    <w:qFormat/>
    <w:rPr>
      <w:rFonts w:ascii="Arial" w:hAnsi="Arial" w:cs="Arial"/>
      <w:b/>
      <w:i w:val="false"/>
      <w:sz w:val="20"/>
    </w:rPr>
  </w:style>
  <w:style w:type="character" w:styleId="WW8Num58z2">
    <w:name w:val="WW8Num58z2"/>
    <w:qFormat/>
    <w:rPr>
      <w:rFonts w:ascii="Arial" w:hAnsi="Arial" w:cs="Arial"/>
      <w:b/>
      <w:i w:val="false"/>
      <w:sz w:val="17"/>
    </w:rPr>
  </w:style>
  <w:style w:type="character" w:styleId="WW8Num58z3">
    <w:name w:val="WW8Num58z3"/>
    <w:qFormat/>
    <w:rPr>
      <w:rFonts w:ascii="Arial" w:hAnsi="Arial" w:cs="Arial"/>
      <w:b w:val="false"/>
      <w:i w:val="false"/>
      <w:sz w:val="20"/>
    </w:rPr>
  </w:style>
  <w:style w:type="character" w:styleId="WW8Num59z0">
    <w:name w:val="WW8Num59z0"/>
    <w:qFormat/>
    <w:rPr>
      <w:rFonts w:ascii="Arial" w:hAnsi="Arial" w:cs="Arial"/>
      <w:b w:val="false"/>
      <w:i w:val="false"/>
      <w:sz w:val="20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Arial" w:hAnsi="Arial" w:cs="Arial"/>
      <w:b w:val="false"/>
      <w:i w:val="false"/>
      <w:sz w:val="20"/>
    </w:rPr>
  </w:style>
  <w:style w:type="character" w:styleId="WW8Num62z0">
    <w:name w:val="WW8Num62z0"/>
    <w:qFormat/>
    <w:rPr>
      <w:rFonts w:ascii="Arial" w:hAnsi="Arial" w:cs="Arial"/>
      <w:b w:val="false"/>
      <w:i w:val="false"/>
      <w:sz w:val="20"/>
    </w:rPr>
  </w:style>
  <w:style w:type="character" w:styleId="WW8Num63z0">
    <w:name w:val="WW8Num6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rFonts w:ascii="Arial" w:hAnsi="Arial" w:cs="Arial"/>
      <w:vertAlign w:val="superscript"/>
    </w:rPr>
  </w:style>
  <w:style w:type="character" w:styleId="FootnoteCharacters">
    <w:name w:val="Footnote Characters"/>
    <w:basedOn w:val="DefaultParagraphFont"/>
    <w:qFormat/>
    <w:rPr>
      <w:rFonts w:ascii="Arial" w:hAnsi="Arial" w:cs="Arial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"/>
    <w:qFormat/>
    <w:pPr>
      <w:keepNext w:val="true"/>
      <w:keepLines/>
      <w:spacing w:before="0" w:after="240"/>
      <w:jc w:val="both"/>
      <w:outlineLvl w:val="3"/>
    </w:pPr>
    <w:rPr>
      <w:b/>
      <w:kern w:val="2"/>
      <w:sz w:val="25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lpha1">
    <w:name w:val="alpha 1"/>
    <w:basedOn w:val="Normal"/>
    <w:qFormat/>
    <w:pPr>
      <w:numPr>
        <w:ilvl w:val="0"/>
        <w:numId w:val="18"/>
      </w:numPr>
      <w:tabs>
        <w:tab w:val="left" w:pos="567" w:leader="none"/>
      </w:tabs>
      <w:spacing w:before="0" w:after="140"/>
      <w:jc w:val="both"/>
    </w:pPr>
    <w:rPr/>
  </w:style>
  <w:style w:type="paragraph" w:styleId="alpha2">
    <w:name w:val="alpha 2"/>
    <w:basedOn w:val="Normal"/>
    <w:qFormat/>
    <w:pPr>
      <w:numPr>
        <w:ilvl w:val="0"/>
        <w:numId w:val="29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alpha3">
    <w:name w:val="alpha 3"/>
    <w:basedOn w:val="Normal"/>
    <w:qFormat/>
    <w:pPr>
      <w:numPr>
        <w:ilvl w:val="0"/>
        <w:numId w:val="11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alpha4">
    <w:name w:val="alpha 4"/>
    <w:basedOn w:val="Normal"/>
    <w:qFormat/>
    <w:pPr>
      <w:numPr>
        <w:ilvl w:val="0"/>
        <w:numId w:val="5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alpha5">
    <w:name w:val="alpha 5"/>
    <w:basedOn w:val="Normal"/>
    <w:qFormat/>
    <w:pPr>
      <w:numPr>
        <w:ilvl w:val="0"/>
        <w:numId w:val="17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alpha6">
    <w:name w:val="alpha 6"/>
    <w:basedOn w:val="Normal"/>
    <w:qFormat/>
    <w:pPr>
      <w:numPr>
        <w:ilvl w:val="0"/>
        <w:numId w:val="13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Body">
    <w:name w:val="Body"/>
    <w:qFormat/>
    <w:pPr>
      <w:widowControl/>
      <w:bidi w:val="0"/>
      <w:spacing w:lineRule="auto" w:line="288" w:before="0" w:after="140"/>
      <w:jc w:val="both"/>
    </w:pPr>
    <w:rPr>
      <w:rFonts w:ascii="Arial" w:hAnsi="Arial" w:eastAsia="Times New Roman" w:cs="Arial"/>
      <w:color w:val="auto"/>
      <w:kern w:val="2"/>
      <w:sz w:val="20"/>
      <w:szCs w:val="20"/>
      <w:lang w:val="en-GB" w:bidi="ar-SA" w:eastAsia="zh-CN"/>
    </w:rPr>
  </w:style>
  <w:style w:type="paragraph" w:styleId="Body1">
    <w:name w:val="Body 1"/>
    <w:basedOn w:val="Body"/>
    <w:qFormat/>
    <w:pPr>
      <w:tabs>
        <w:tab w:val="left" w:pos="567" w:leader="none"/>
      </w:tabs>
      <w:ind w:hanging="0" w:start="567" w:end="0"/>
    </w:pPr>
    <w:rPr/>
  </w:style>
  <w:style w:type="paragraph" w:styleId="Body2">
    <w:name w:val="Body 2"/>
    <w:basedOn w:val="Body"/>
    <w:qFormat/>
    <w:pPr>
      <w:tabs>
        <w:tab w:val="clear" w:pos="567"/>
        <w:tab w:val="left" w:pos="1247" w:leader="none"/>
      </w:tabs>
      <w:ind w:hanging="0" w:start="1247" w:end="0"/>
    </w:pPr>
    <w:rPr/>
  </w:style>
  <w:style w:type="paragraph" w:styleId="Body3">
    <w:name w:val="Body 3"/>
    <w:basedOn w:val="Body"/>
    <w:qFormat/>
    <w:pPr>
      <w:tabs>
        <w:tab w:val="clear" w:pos="567"/>
        <w:tab w:val="left" w:pos="2041" w:leader="none"/>
      </w:tabs>
      <w:ind w:hanging="0" w:start="2041" w:end="0"/>
    </w:pPr>
    <w:rPr/>
  </w:style>
  <w:style w:type="paragraph" w:styleId="Body4">
    <w:name w:val="Body 4"/>
    <w:basedOn w:val="Body"/>
    <w:qFormat/>
    <w:pPr>
      <w:tabs>
        <w:tab w:val="clear" w:pos="567"/>
        <w:tab w:val="left" w:pos="2722" w:leader="none"/>
      </w:tabs>
      <w:ind w:hanging="0" w:start="2722" w:end="0"/>
    </w:pPr>
    <w:rPr/>
  </w:style>
  <w:style w:type="paragraph" w:styleId="Body5">
    <w:name w:val="Body 5"/>
    <w:basedOn w:val="Body"/>
    <w:qFormat/>
    <w:pPr>
      <w:tabs>
        <w:tab w:val="clear" w:pos="567"/>
        <w:tab w:val="left" w:pos="3289" w:leader="none"/>
      </w:tabs>
      <w:ind w:hanging="0" w:start="3289" w:end="0"/>
    </w:pPr>
    <w:rPr/>
  </w:style>
  <w:style w:type="paragraph" w:styleId="Body6">
    <w:name w:val="Body 6"/>
    <w:basedOn w:val="Body"/>
    <w:qFormat/>
    <w:pPr>
      <w:tabs>
        <w:tab w:val="clear" w:pos="567"/>
        <w:tab w:val="left" w:pos="3969" w:leader="none"/>
      </w:tabs>
      <w:ind w:hanging="0" w:start="3969" w:end="0"/>
    </w:pPr>
    <w:rPr/>
  </w:style>
  <w:style w:type="paragraph" w:styleId="Bullet1">
    <w:name w:val="Bullet 1"/>
    <w:basedOn w:val="Normal"/>
    <w:qFormat/>
    <w:pPr>
      <w:numPr>
        <w:ilvl w:val="0"/>
        <w:numId w:val="7"/>
      </w:numPr>
      <w:tabs>
        <w:tab w:val="left" w:pos="567" w:leader="none"/>
      </w:tabs>
      <w:spacing w:before="0" w:after="140"/>
      <w:jc w:val="both"/>
    </w:pPr>
    <w:rPr/>
  </w:style>
  <w:style w:type="paragraph" w:styleId="Bullet2">
    <w:name w:val="Bullet 2"/>
    <w:basedOn w:val="Normal"/>
    <w:qFormat/>
    <w:pPr>
      <w:numPr>
        <w:ilvl w:val="0"/>
        <w:numId w:val="23"/>
      </w:numPr>
      <w:spacing w:before="0" w:after="140"/>
      <w:jc w:val="both"/>
    </w:pPr>
    <w:rPr/>
  </w:style>
  <w:style w:type="paragraph" w:styleId="Bullet3">
    <w:name w:val="Bullet 3"/>
    <w:basedOn w:val="Normal"/>
    <w:qFormat/>
    <w:pPr>
      <w:numPr>
        <w:ilvl w:val="0"/>
        <w:numId w:val="12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Bullet4">
    <w:name w:val="Bullet 4"/>
    <w:basedOn w:val="Normal"/>
    <w:qFormat/>
    <w:pPr>
      <w:numPr>
        <w:ilvl w:val="0"/>
        <w:numId w:val="10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Bullet5">
    <w:name w:val="Bullet 5"/>
    <w:basedOn w:val="Normal"/>
    <w:qFormat/>
    <w:pPr>
      <w:numPr>
        <w:ilvl w:val="0"/>
        <w:numId w:val="16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Bullet6">
    <w:name w:val="Bullet 6"/>
    <w:basedOn w:val="Normal"/>
    <w:qFormat/>
    <w:pPr>
      <w:numPr>
        <w:ilvl w:val="0"/>
        <w:numId w:val="6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CellBody">
    <w:name w:val="CellBody"/>
    <w:basedOn w:val="Normal"/>
    <w:qFormat/>
    <w:pPr>
      <w:spacing w:before="60" w:after="60"/>
    </w:pPr>
    <w:rPr/>
  </w:style>
  <w:style w:type="paragraph" w:styleId="CellHead">
    <w:name w:val="CellHead"/>
    <w:basedOn w:val="Normal"/>
    <w:qFormat/>
    <w:pPr>
      <w:keepNext w:val="true"/>
      <w:spacing w:lineRule="auto" w:line="257" w:before="60" w:after="60"/>
    </w:pPr>
    <w:rPr>
      <w:b/>
    </w:rPr>
  </w:style>
  <w:style w:type="paragraph" w:styleId="Head">
    <w:name w:val="Head"/>
    <w:basedOn w:val="Normal"/>
    <w:next w:val="Body"/>
    <w:qFormat/>
    <w:pPr>
      <w:keepNext w:val="true"/>
      <w:keepLines/>
      <w:spacing w:before="140" w:after="140"/>
      <w:jc w:val="both"/>
      <w:outlineLvl w:val="3"/>
    </w:pPr>
    <w:rPr>
      <w:b/>
      <w:sz w:val="23"/>
    </w:rPr>
  </w:style>
  <w:style w:type="paragraph" w:styleId="Head1">
    <w:name w:val="Head 1"/>
    <w:basedOn w:val="Normal"/>
    <w:next w:val="Body1"/>
    <w:qFormat/>
    <w:pPr>
      <w:keepNext w:val="true"/>
      <w:keepLines/>
      <w:spacing w:before="140" w:after="60"/>
      <w:ind w:hanging="0" w:start="567" w:end="0"/>
      <w:jc w:val="both"/>
      <w:outlineLvl w:val="3"/>
    </w:pPr>
    <w:rPr>
      <w:b/>
      <w:sz w:val="22"/>
    </w:rPr>
  </w:style>
  <w:style w:type="paragraph" w:styleId="Head2">
    <w:name w:val="Head 2"/>
    <w:basedOn w:val="Normal"/>
    <w:next w:val="Body2"/>
    <w:qFormat/>
    <w:pPr>
      <w:keepNext w:val="true"/>
      <w:keepLines/>
      <w:spacing w:before="140" w:after="60"/>
      <w:ind w:hanging="0" w:start="1247" w:end="0"/>
      <w:jc w:val="both"/>
      <w:outlineLvl w:val="3"/>
    </w:pPr>
    <w:rPr>
      <w:b/>
      <w:sz w:val="21"/>
    </w:rPr>
  </w:style>
  <w:style w:type="paragraph" w:styleId="Head3">
    <w:name w:val="Head 3"/>
    <w:basedOn w:val="Normal"/>
    <w:next w:val="Body3"/>
    <w:qFormat/>
    <w:pPr>
      <w:keepNext w:val="true"/>
      <w:keepLines/>
      <w:spacing w:before="140" w:after="40"/>
      <w:ind w:hanging="0" w:start="2041" w:end="0"/>
      <w:jc w:val="both"/>
      <w:outlineLvl w:val="3"/>
    </w:pPr>
    <w:rPr>
      <w:b/>
    </w:rPr>
  </w:style>
  <w:style w:type="paragraph" w:styleId="Level1">
    <w:name w:val="Level 1"/>
    <w:basedOn w:val="Normal"/>
    <w:next w:val="Body1"/>
    <w:qFormat/>
    <w:pPr>
      <w:keepNext w:val="true"/>
      <w:numPr>
        <w:ilvl w:val="0"/>
        <w:numId w:val="22"/>
      </w:numPr>
      <w:spacing w:before="140" w:after="140"/>
      <w:jc w:val="both"/>
      <w:outlineLvl w:val="0"/>
    </w:pPr>
    <w:rPr>
      <w:b/>
      <w:sz w:val="22"/>
    </w:rPr>
  </w:style>
  <w:style w:type="paragraph" w:styleId="Level2">
    <w:name w:val="Level 2"/>
    <w:basedOn w:val="Normal"/>
    <w:qFormat/>
    <w:pPr>
      <w:numPr>
        <w:ilvl w:val="0"/>
        <w:numId w:val="22"/>
      </w:numPr>
      <w:spacing w:before="0" w:after="140"/>
      <w:jc w:val="both"/>
      <w:outlineLvl w:val="1"/>
    </w:pPr>
    <w:rPr/>
  </w:style>
  <w:style w:type="paragraph" w:styleId="Level3">
    <w:name w:val="Level 3"/>
    <w:basedOn w:val="Normal"/>
    <w:qFormat/>
    <w:pPr>
      <w:numPr>
        <w:ilvl w:val="0"/>
        <w:numId w:val="22"/>
      </w:numPr>
      <w:spacing w:before="0" w:after="140"/>
      <w:jc w:val="both"/>
      <w:outlineLvl w:val="2"/>
    </w:pPr>
    <w:rPr/>
  </w:style>
  <w:style w:type="paragraph" w:styleId="Level4">
    <w:name w:val="Level 4"/>
    <w:basedOn w:val="Normal"/>
    <w:qFormat/>
    <w:pPr>
      <w:numPr>
        <w:ilvl w:val="0"/>
        <w:numId w:val="22"/>
      </w:numPr>
      <w:spacing w:before="0" w:after="140"/>
      <w:jc w:val="both"/>
      <w:outlineLvl w:val="3"/>
    </w:pPr>
    <w:rPr/>
  </w:style>
  <w:style w:type="paragraph" w:styleId="Level5">
    <w:name w:val="Level 5"/>
    <w:basedOn w:val="Normal"/>
    <w:qFormat/>
    <w:pPr>
      <w:numPr>
        <w:ilvl w:val="0"/>
        <w:numId w:val="22"/>
      </w:numPr>
      <w:spacing w:before="0" w:after="140"/>
      <w:jc w:val="both"/>
      <w:outlineLvl w:val="4"/>
    </w:pPr>
    <w:rPr/>
  </w:style>
  <w:style w:type="paragraph" w:styleId="Level6">
    <w:name w:val="Level 6"/>
    <w:basedOn w:val="Normal"/>
    <w:qFormat/>
    <w:pPr>
      <w:numPr>
        <w:ilvl w:val="0"/>
        <w:numId w:val="22"/>
      </w:numPr>
      <w:spacing w:before="0" w:after="140"/>
      <w:jc w:val="both"/>
      <w:outlineLvl w:val="5"/>
    </w:pPr>
    <w:rPr/>
  </w:style>
  <w:style w:type="paragraph" w:styleId="Parties">
    <w:name w:val="Parties"/>
    <w:basedOn w:val="Normal"/>
    <w:qFormat/>
    <w:pPr>
      <w:numPr>
        <w:ilvl w:val="0"/>
        <w:numId w:val="27"/>
      </w:numPr>
      <w:spacing w:before="0" w:after="140"/>
      <w:jc w:val="both"/>
    </w:pPr>
    <w:rPr/>
  </w:style>
  <w:style w:type="paragraph" w:styleId="Recitals">
    <w:name w:val="Recitals"/>
    <w:basedOn w:val="Body"/>
    <w:qFormat/>
    <w:pPr>
      <w:numPr>
        <w:ilvl w:val="0"/>
        <w:numId w:val="3"/>
      </w:numPr>
      <w:tabs>
        <w:tab w:val="left" w:pos="567" w:leader="none"/>
      </w:tabs>
    </w:pPr>
    <w:rPr/>
  </w:style>
  <w:style w:type="paragraph" w:styleId="roman1">
    <w:name w:val="roman 1"/>
    <w:basedOn w:val="Normal"/>
    <w:qFormat/>
    <w:pPr>
      <w:numPr>
        <w:ilvl w:val="0"/>
        <w:numId w:val="21"/>
      </w:numPr>
      <w:tabs>
        <w:tab w:val="left" w:pos="567" w:leader="none"/>
      </w:tabs>
      <w:spacing w:before="0" w:after="140"/>
      <w:jc w:val="both"/>
    </w:pPr>
    <w:rPr/>
  </w:style>
  <w:style w:type="paragraph" w:styleId="roman2">
    <w:name w:val="roman 2"/>
    <w:basedOn w:val="Normal"/>
    <w:qFormat/>
    <w:pPr>
      <w:numPr>
        <w:ilvl w:val="0"/>
        <w:numId w:val="31"/>
      </w:numPr>
      <w:tabs>
        <w:tab w:val="clear" w:pos="567"/>
        <w:tab w:val="left" w:pos="1247" w:leader="none"/>
      </w:tabs>
      <w:spacing w:before="0" w:after="140"/>
      <w:jc w:val="both"/>
    </w:pPr>
    <w:rPr/>
  </w:style>
  <w:style w:type="paragraph" w:styleId="roman3">
    <w:name w:val="roman 3"/>
    <w:basedOn w:val="Normal"/>
    <w:qFormat/>
    <w:pPr>
      <w:numPr>
        <w:ilvl w:val="0"/>
        <w:numId w:val="24"/>
      </w:numPr>
      <w:tabs>
        <w:tab w:val="clear" w:pos="567"/>
        <w:tab w:val="left" w:pos="2041" w:leader="none"/>
      </w:tabs>
      <w:spacing w:before="0" w:after="140"/>
      <w:jc w:val="both"/>
    </w:pPr>
    <w:rPr/>
  </w:style>
  <w:style w:type="paragraph" w:styleId="roman4">
    <w:name w:val="roman 4"/>
    <w:basedOn w:val="Normal"/>
    <w:qFormat/>
    <w:pPr>
      <w:numPr>
        <w:ilvl w:val="0"/>
        <w:numId w:val="20"/>
      </w:numPr>
      <w:tabs>
        <w:tab w:val="clear" w:pos="567"/>
        <w:tab w:val="left" w:pos="2722" w:leader="none"/>
      </w:tabs>
      <w:spacing w:before="0" w:after="140"/>
      <w:ind w:hanging="680" w:start="2721" w:end="0"/>
      <w:jc w:val="both"/>
    </w:pPr>
    <w:rPr/>
  </w:style>
  <w:style w:type="paragraph" w:styleId="roman5">
    <w:name w:val="roman 5"/>
    <w:basedOn w:val="Normal"/>
    <w:qFormat/>
    <w:pPr>
      <w:numPr>
        <w:ilvl w:val="0"/>
        <w:numId w:val="30"/>
      </w:numPr>
      <w:tabs>
        <w:tab w:val="clear" w:pos="567"/>
        <w:tab w:val="left" w:pos="3289" w:leader="none"/>
      </w:tabs>
      <w:spacing w:before="0" w:after="140"/>
      <w:jc w:val="both"/>
    </w:pPr>
    <w:rPr/>
  </w:style>
  <w:style w:type="paragraph" w:styleId="roman6">
    <w:name w:val="roman 6"/>
    <w:basedOn w:val="Normal"/>
    <w:qFormat/>
    <w:pPr>
      <w:numPr>
        <w:ilvl w:val="0"/>
        <w:numId w:val="28"/>
      </w:numPr>
      <w:tabs>
        <w:tab w:val="clear" w:pos="567"/>
        <w:tab w:val="left" w:pos="3969" w:leader="none"/>
      </w:tabs>
      <w:spacing w:before="0" w:after="140"/>
      <w:jc w:val="both"/>
    </w:pPr>
    <w:rPr/>
  </w:style>
  <w:style w:type="paragraph" w:styleId="SchedApps">
    <w:name w:val="Sched/Apps"/>
    <w:basedOn w:val="Normal"/>
    <w:next w:val="Body"/>
    <w:qFormat/>
    <w:pPr>
      <w:keepNext w:val="true"/>
      <w:keepLines/>
      <w:pageBreakBefore/>
      <w:spacing w:before="0" w:after="240"/>
      <w:jc w:val="center"/>
      <w:outlineLvl w:val="3"/>
    </w:pPr>
    <w:rPr>
      <w:b/>
      <w:sz w:val="23"/>
    </w:rPr>
  </w:style>
  <w:style w:type="paragraph" w:styleId="Schedule1">
    <w:name w:val="Schedule 1"/>
    <w:basedOn w:val="Normal"/>
    <w:next w:val="Body1"/>
    <w:qFormat/>
    <w:pPr>
      <w:numPr>
        <w:ilvl w:val="0"/>
        <w:numId w:val="2"/>
      </w:numPr>
      <w:spacing w:before="0" w:after="140"/>
      <w:jc w:val="both"/>
      <w:outlineLvl w:val="0"/>
    </w:pPr>
    <w:rPr/>
  </w:style>
  <w:style w:type="paragraph" w:styleId="Schedule2">
    <w:name w:val="Schedule 2"/>
    <w:basedOn w:val="Normal"/>
    <w:next w:val="Body2"/>
    <w:qFormat/>
    <w:pPr>
      <w:numPr>
        <w:ilvl w:val="0"/>
        <w:numId w:val="2"/>
      </w:numPr>
      <w:spacing w:before="0" w:after="140"/>
      <w:jc w:val="both"/>
      <w:outlineLvl w:val="1"/>
    </w:pPr>
    <w:rPr/>
  </w:style>
  <w:style w:type="paragraph" w:styleId="Schedule3">
    <w:name w:val="Schedule 3"/>
    <w:basedOn w:val="Normal"/>
    <w:next w:val="Body3"/>
    <w:qFormat/>
    <w:pPr>
      <w:numPr>
        <w:ilvl w:val="0"/>
        <w:numId w:val="2"/>
      </w:numPr>
      <w:spacing w:before="0" w:after="140"/>
      <w:jc w:val="both"/>
      <w:outlineLvl w:val="2"/>
    </w:pPr>
    <w:rPr/>
  </w:style>
  <w:style w:type="paragraph" w:styleId="Schedule4">
    <w:name w:val="Schedule 4"/>
    <w:basedOn w:val="Normal"/>
    <w:next w:val="Body4"/>
    <w:qFormat/>
    <w:pPr>
      <w:numPr>
        <w:ilvl w:val="0"/>
        <w:numId w:val="2"/>
      </w:numPr>
      <w:spacing w:before="0" w:after="140"/>
      <w:jc w:val="both"/>
      <w:outlineLvl w:val="3"/>
    </w:pPr>
    <w:rPr/>
  </w:style>
  <w:style w:type="paragraph" w:styleId="Schedule5">
    <w:name w:val="Schedule 5"/>
    <w:basedOn w:val="Normal"/>
    <w:next w:val="Body5"/>
    <w:qFormat/>
    <w:pPr>
      <w:numPr>
        <w:ilvl w:val="0"/>
        <w:numId w:val="2"/>
      </w:numPr>
      <w:spacing w:before="0" w:after="140"/>
      <w:jc w:val="both"/>
      <w:outlineLvl w:val="4"/>
    </w:pPr>
    <w:rPr/>
  </w:style>
  <w:style w:type="paragraph" w:styleId="Schedule6">
    <w:name w:val="Schedule 6"/>
    <w:basedOn w:val="Normal"/>
    <w:next w:val="Body6"/>
    <w:qFormat/>
    <w:pPr>
      <w:numPr>
        <w:ilvl w:val="0"/>
        <w:numId w:val="2"/>
      </w:numPr>
      <w:spacing w:before="0" w:after="140"/>
      <w:jc w:val="both"/>
      <w:outlineLvl w:val="5"/>
    </w:pPr>
    <w:rPr/>
  </w:style>
  <w:style w:type="paragraph" w:styleId="SubHead">
    <w:name w:val="SubHead"/>
    <w:basedOn w:val="Normal"/>
    <w:next w:val="Body"/>
    <w:qFormat/>
    <w:pPr>
      <w:keepNext w:val="true"/>
      <w:keepLines/>
      <w:spacing w:before="60" w:after="60"/>
      <w:jc w:val="both"/>
      <w:outlineLvl w:val="3"/>
    </w:pPr>
    <w:rPr>
      <w:b/>
      <w:sz w:val="21"/>
    </w:rPr>
  </w:style>
  <w:style w:type="paragraph" w:styleId="TCLevel1">
    <w:name w:val="T+C Level 1"/>
    <w:basedOn w:val="Body"/>
    <w:next w:val="TCLevel2"/>
    <w:qFormat/>
    <w:pPr>
      <w:keepNext w:val="true"/>
      <w:numPr>
        <w:ilvl w:val="0"/>
        <w:numId w:val="15"/>
      </w:numPr>
      <w:tabs>
        <w:tab w:val="left" w:pos="567" w:leader="none"/>
      </w:tabs>
      <w:spacing w:before="140" w:after="0"/>
      <w:outlineLvl w:val="0"/>
    </w:pPr>
    <w:rPr>
      <w:b/>
    </w:rPr>
  </w:style>
  <w:style w:type="paragraph" w:styleId="TCLevel2">
    <w:name w:val="T+C Level 2"/>
    <w:basedOn w:val="Body"/>
    <w:qFormat/>
    <w:pPr>
      <w:numPr>
        <w:ilvl w:val="0"/>
        <w:numId w:val="15"/>
      </w:numPr>
      <w:tabs>
        <w:tab w:val="clear" w:pos="567"/>
        <w:tab w:val="left" w:pos="1247" w:leader="none"/>
      </w:tabs>
      <w:outlineLvl w:val="1"/>
    </w:pPr>
    <w:rPr/>
  </w:style>
  <w:style w:type="paragraph" w:styleId="TCLevel3">
    <w:name w:val="T+C Level 3"/>
    <w:basedOn w:val="Body"/>
    <w:qFormat/>
    <w:pPr>
      <w:numPr>
        <w:ilvl w:val="0"/>
        <w:numId w:val="15"/>
      </w:numPr>
      <w:tabs>
        <w:tab w:val="clear" w:pos="567"/>
        <w:tab w:val="left" w:pos="2041" w:leader="none"/>
      </w:tabs>
      <w:outlineLvl w:val="2"/>
    </w:pPr>
    <w:rPr/>
  </w:style>
  <w:style w:type="paragraph" w:styleId="TCLevel4">
    <w:name w:val="T+C Level 4"/>
    <w:basedOn w:val="Body"/>
    <w:qFormat/>
    <w:pPr>
      <w:numPr>
        <w:ilvl w:val="0"/>
        <w:numId w:val="15"/>
      </w:numPr>
      <w:tabs>
        <w:tab w:val="clear" w:pos="567"/>
        <w:tab w:val="left" w:pos="2722" w:leader="none"/>
      </w:tabs>
      <w:ind w:hanging="680" w:start="2721" w:end="0"/>
      <w:outlineLvl w:val="3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4" w:space="1" w:color="000000"/>
      </w:pBd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7"/>
    </w:rPr>
  </w:style>
  <w:style w:type="paragraph" w:styleId="FootnoteText">
    <w:name w:val="footnote text"/>
    <w:basedOn w:val="Normal"/>
    <w:pPr>
      <w:keepLines/>
      <w:tabs>
        <w:tab w:val="clear" w:pos="567"/>
        <w:tab w:val="left" w:pos="227" w:leader="none"/>
      </w:tabs>
      <w:spacing w:lineRule="atLeast" w:line="200" w:before="0" w:after="60"/>
      <w:jc w:val="both"/>
    </w:pPr>
    <w:rPr>
      <w:sz w:val="16"/>
    </w:rPr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9"/>
    </w:rPr>
  </w:style>
  <w:style w:type="paragraph" w:styleId="TOC1">
    <w:name w:val="toc 1"/>
    <w:basedOn w:val="Normal"/>
    <w:next w:val="Normal"/>
    <w:pPr>
      <w:spacing w:before="140" w:after="140"/>
      <w:ind w:hanging="902" w:start="902" w:end="0"/>
    </w:pPr>
    <w:rPr/>
  </w:style>
  <w:style w:type="paragraph" w:styleId="TOC2">
    <w:name w:val="toc 2"/>
    <w:basedOn w:val="Normal"/>
    <w:next w:val="Normal"/>
    <w:pPr>
      <w:spacing w:before="140" w:after="140"/>
      <w:ind w:hanging="680" w:start="878" w:end="0"/>
    </w:pPr>
    <w:rPr/>
  </w:style>
  <w:style w:type="paragraph" w:styleId="TOC3">
    <w:name w:val="toc 3"/>
    <w:basedOn w:val="Normal"/>
    <w:next w:val="Normal"/>
    <w:pPr>
      <w:spacing w:before="140" w:after="140"/>
      <w:ind w:hanging="794" w:start="2041" w:end="0"/>
    </w:pPr>
    <w:rPr/>
  </w:style>
  <w:style w:type="paragraph" w:styleId="TOC4">
    <w:name w:val="toc 4"/>
    <w:basedOn w:val="Normal"/>
    <w:next w:val="Normal"/>
    <w:pPr>
      <w:spacing w:before="140" w:after="140"/>
      <w:ind w:hanging="0" w:start="601" w:end="0"/>
    </w:pPr>
    <w:rPr/>
  </w:style>
  <w:style w:type="paragraph" w:styleId="TOC5">
    <w:name w:val="toc 5"/>
    <w:basedOn w:val="Normal"/>
    <w:next w:val="Normal"/>
    <w:pPr/>
    <w:rPr/>
  </w:style>
  <w:style w:type="paragraph" w:styleId="zFSand">
    <w:name w:val="zFSand"/>
    <w:basedOn w:val="Normal"/>
    <w:next w:val="zFSco-names"/>
    <w:qFormat/>
    <w:pPr>
      <w:spacing w:lineRule="auto" w:line="317" w:before="120" w:after="120"/>
      <w:ind w:hanging="0" w:start="567" w:end="567"/>
      <w:jc w:val="center"/>
    </w:pPr>
    <w:rPr>
      <w:w w:val="125"/>
    </w:rPr>
  </w:style>
  <w:style w:type="paragraph" w:styleId="zFSco-names">
    <w:name w:val="zFSco-names"/>
    <w:basedOn w:val="Normal"/>
    <w:next w:val="zFSand"/>
    <w:qFormat/>
    <w:pPr>
      <w:spacing w:lineRule="auto" w:line="317"/>
      <w:ind w:hanging="0" w:start="567" w:end="567"/>
      <w:jc w:val="center"/>
    </w:pPr>
    <w:rPr>
      <w:b/>
      <w:w w:val="125"/>
      <w:sz w:val="24"/>
    </w:rPr>
  </w:style>
  <w:style w:type="paragraph" w:styleId="zFSnarrative">
    <w:name w:val="zFSnarrative"/>
    <w:basedOn w:val="Normal"/>
    <w:qFormat/>
    <w:pPr>
      <w:spacing w:lineRule="auto" w:line="317"/>
      <w:jc w:val="center"/>
    </w:pPr>
    <w:rPr>
      <w:w w:val="125"/>
    </w:rPr>
  </w:style>
  <w:style w:type="paragraph" w:styleId="zFStitle">
    <w:name w:val="zFStitle"/>
    <w:basedOn w:val="Normal"/>
    <w:next w:val="zFSnarrative"/>
    <w:qFormat/>
    <w:pPr>
      <w:keepNext w:val="true"/>
      <w:spacing w:lineRule="auto" w:line="341" w:before="240" w:after="160"/>
      <w:ind w:hanging="0" w:start="567" w:end="567"/>
      <w:jc w:val="center"/>
    </w:pPr>
    <w:rPr>
      <w:b/>
      <w:w w:val="125"/>
      <w:sz w:val="28"/>
    </w:rPr>
  </w:style>
  <w:style w:type="paragraph" w:styleId="zFSDate">
    <w:name w:val="zFSDate"/>
    <w:basedOn w:val="Normal"/>
    <w:qFormat/>
    <w:pPr>
      <w:jc w:val="center"/>
    </w:pPr>
    <w:rPr/>
  </w:style>
  <w:style w:type="paragraph" w:styleId="zFSFooter">
    <w:name w:val="zFSFooter"/>
    <w:basedOn w:val="Normal"/>
    <w:qFormat/>
    <w:pPr>
      <w:tabs>
        <w:tab w:val="clear" w:pos="567"/>
        <w:tab w:val="left" w:pos="6521" w:leader="none"/>
      </w:tabs>
      <w:spacing w:before="0" w:after="40"/>
      <w:ind w:hanging="0" w:start="-108" w:end="0"/>
    </w:pPr>
    <w:rPr>
      <w:sz w:val="16"/>
    </w:rPr>
  </w:style>
  <w:style w:type="paragraph" w:styleId="BulletF">
    <w:name w:val="BulletF"/>
    <w:basedOn w:val="Normal"/>
    <w:qFormat/>
    <w:pPr>
      <w:numPr>
        <w:ilvl w:val="0"/>
        <w:numId w:val="19"/>
      </w:numPr>
      <w:tabs>
        <w:tab w:val="clear" w:pos="567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lang w:val="fr-FR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>
      <w:lang w:val="fr-FR"/>
    </w:rPr>
  </w:style>
  <w:style w:type="paragraph" w:styleId="TOC6">
    <w:name w:val="toc 6"/>
    <w:basedOn w:val="Normal"/>
    <w:next w:val="Normal"/>
    <w:pPr>
      <w:tabs>
        <w:tab w:val="clear" w:pos="567"/>
        <w:tab w:val="left" w:pos="851" w:leader="none"/>
        <w:tab w:val="right" w:pos="9072" w:leader="dot"/>
      </w:tabs>
      <w:spacing w:before="140" w:after="140"/>
      <w:ind w:hanging="851" w:start="851" w:end="0"/>
    </w:pPr>
    <w:rPr>
      <w:b/>
      <w:lang w:val="fr-FR"/>
    </w:rPr>
  </w:style>
  <w:style w:type="paragraph" w:styleId="TOC7">
    <w:name w:val="toc 7"/>
    <w:basedOn w:val="Normal"/>
    <w:next w:val="Normal"/>
    <w:pPr/>
    <w:rPr>
      <w:lang w:val="fr-FR"/>
    </w:rPr>
  </w:style>
  <w:style w:type="paragraph" w:styleId="TOC8">
    <w:name w:val="toc 8"/>
    <w:basedOn w:val="Normal"/>
    <w:next w:val="Normal"/>
    <w:pPr/>
    <w:rPr>
      <w:lang w:val="fr-FR"/>
    </w:rPr>
  </w:style>
  <w:style w:type="paragraph" w:styleId="TOC9">
    <w:name w:val="toc 9"/>
    <w:basedOn w:val="Normal"/>
    <w:next w:val="Normal"/>
    <w:pPr/>
    <w:rPr>
      <w:lang w:val="fr-FR"/>
    </w:rPr>
  </w:style>
  <w:style w:type="paragraph" w:styleId="Table1">
    <w:name w:val="Table 1"/>
    <w:basedOn w:val="CellBody"/>
    <w:qFormat/>
    <w:pPr>
      <w:numPr>
        <w:ilvl w:val="0"/>
        <w:numId w:val="4"/>
      </w:numPr>
    </w:pPr>
    <w:rPr/>
  </w:style>
  <w:style w:type="paragraph" w:styleId="Table2">
    <w:name w:val="Table 2"/>
    <w:basedOn w:val="CellBody"/>
    <w:qFormat/>
    <w:pPr>
      <w:numPr>
        <w:ilvl w:val="0"/>
        <w:numId w:val="4"/>
      </w:numPr>
    </w:pPr>
    <w:rPr/>
  </w:style>
  <w:style w:type="paragraph" w:styleId="Table3">
    <w:name w:val="Table 3"/>
    <w:basedOn w:val="CellBody"/>
    <w:qFormat/>
    <w:pPr>
      <w:numPr>
        <w:ilvl w:val="0"/>
        <w:numId w:val="4"/>
      </w:numPr>
    </w:pPr>
    <w:rPr/>
  </w:style>
  <w:style w:type="paragraph" w:styleId="Table4">
    <w:name w:val="Table 4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5">
    <w:name w:val="Table 5"/>
    <w:basedOn w:val="CellBody"/>
    <w:qFormat/>
    <w:pPr>
      <w:numPr>
        <w:ilvl w:val="0"/>
        <w:numId w:val="4"/>
      </w:numPr>
    </w:pPr>
    <w:rPr/>
  </w:style>
  <w:style w:type="paragraph" w:styleId="Table6">
    <w:name w:val="Table 6"/>
    <w:basedOn w:val="CellBody"/>
    <w:qFormat/>
    <w:pPr>
      <w:numPr>
        <w:ilvl w:val="0"/>
        <w:numId w:val="4"/>
      </w:numPr>
      <w:tabs>
        <w:tab w:val="left" w:pos="567" w:leader="none"/>
      </w:tabs>
    </w:pPr>
    <w:rPr/>
  </w:style>
  <w:style w:type="paragraph" w:styleId="Tablealpha">
    <w:name w:val="Table alpha"/>
    <w:basedOn w:val="CellBody"/>
    <w:qFormat/>
    <w:pPr>
      <w:numPr>
        <w:ilvl w:val="0"/>
        <w:numId w:val="8"/>
      </w:numPr>
    </w:pPr>
    <w:rPr/>
  </w:style>
  <w:style w:type="paragraph" w:styleId="Tableroman">
    <w:name w:val="Table roman"/>
    <w:basedOn w:val="CellBody"/>
    <w:qFormat/>
    <w:pPr>
      <w:numPr>
        <w:ilvl w:val="0"/>
        <w:numId w:val="26"/>
      </w:numPr>
      <w:tabs>
        <w:tab w:val="left" w:pos="567" w:leader="none"/>
      </w:tabs>
    </w:pPr>
    <w:rPr/>
  </w:style>
  <w:style w:type="paragraph" w:styleId="Tablebullet">
    <w:name w:val="Table bullet"/>
    <w:basedOn w:val="CellBody"/>
    <w:qFormat/>
    <w:pPr>
      <w:numPr>
        <w:ilvl w:val="0"/>
        <w:numId w:val="25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HouseStyle1.dot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2000-09-28T14:13:00Z</dcterms:created>
  <dc:creator>Any Authorised User</dc:creator>
  <dc:description/>
  <dc:language>en-CA</dc:language>
  <cp:lastModifiedBy>jboyd</cp:lastModifiedBy>
  <cp:lastPrinted>2000-09-28T17:52:00Z</cp:lastPrinted>
  <dcterms:modified xsi:type="dcterms:W3CDTF">2000-09-28T15:19:00Z</dcterms:modified>
  <cp:revision>13</cp:revision>
  <dc:subject/>
  <dc:title>Dated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A00913556</vt:lpwstr>
  </property>
  <property fmtid="{D5CDD505-2E9C-101B-9397-08002B2CF9AE}" pid="3" name="Last Modified">
    <vt:lpwstr>20 Sep 2000</vt:lpwstr>
  </property>
  <property fmtid="{D5CDD505-2E9C-101B-9397-08002B2CF9AE}" pid="4" name="Template Version">
    <vt:lpwstr>5.93</vt:lpwstr>
  </property>
  <property fmtid="{D5CDD505-2E9C-101B-9397-08002B2CF9AE}" pid="5" name="Version">
    <vt:lpwstr>0.1</vt:lpwstr>
  </property>
</Properties>
</file>