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Sempra/SCEG(PrimeSouth) Transaction summary</w:t>
      </w:r>
    </w:p>
    <w:p>
      <w:pPr>
        <w:pStyle w:val="Normal"/>
        <w:rPr>
          <w:b/>
          <w:bCs/>
          <w:sz w:val="24"/>
          <w:szCs w:val="24"/>
        </w:rPr>
      </w:pPr>
      <w:r>
        <w:rPr>
          <w:b/>
          <w:bCs/>
          <w:sz w:val="24"/>
          <w:szCs w:val="24"/>
        </w:rPr>
      </w:r>
    </w:p>
    <w:p>
      <w:pPr>
        <w:pStyle w:val="Normal"/>
        <w:rPr>
          <w:b/>
          <w:bCs/>
          <w:sz w:val="24"/>
          <w:szCs w:val="24"/>
        </w:rPr>
      </w:pPr>
      <w:r>
        <w:rPr>
          <w:b/>
          <w:bCs/>
          <w:sz w:val="24"/>
          <w:szCs w:val="24"/>
        </w:rPr>
        <w:t>Internal Summary:</w:t>
      </w:r>
    </w:p>
    <w:p>
      <w:pPr>
        <w:pStyle w:val="Normal"/>
        <w:rPr>
          <w:b/>
          <w:bCs/>
          <w:sz w:val="24"/>
          <w:szCs w:val="24"/>
        </w:rPr>
      </w:pPr>
      <w:r>
        <w:rPr>
          <w:b/>
          <w:bCs/>
          <w:sz w:val="24"/>
          <w:szCs w:val="24"/>
        </w:rPr>
      </w:r>
    </w:p>
    <w:p>
      <w:pPr>
        <w:pStyle w:val="Normal"/>
        <w:rPr/>
      </w:pPr>
      <w:r>
        <w:rPr/>
        <w:t>Sempra deal is a tolling transaction where Enron is short coal and long synthetic synfuel to a synfuel plant located in Newport News, VA.  The deal is highly complex and includes an O&amp;M contract that Enron has subcontracted to Kinder Morgan.  Due to the lease situation with the machine, AA would not allow a mark to market acctg to the transaction.</w:t>
      </w:r>
    </w:p>
    <w:p>
      <w:pPr>
        <w:pStyle w:val="Normal"/>
        <w:rPr/>
      </w:pPr>
      <w:r>
        <w:rPr/>
      </w:r>
    </w:p>
    <w:p>
      <w:pPr>
        <w:pStyle w:val="Normal"/>
        <w:rPr/>
      </w:pPr>
      <w:r>
        <w:rPr/>
        <w:t>Trade:</w:t>
      </w:r>
    </w:p>
    <w:p>
      <w:pPr>
        <w:pStyle w:val="Normal"/>
        <w:rPr/>
      </w:pPr>
      <w:r>
        <w:rPr/>
      </w:r>
    </w:p>
    <w:p>
      <w:pPr>
        <w:pStyle w:val="Normal"/>
        <w:rPr/>
      </w:pPr>
      <w:r>
        <w:rPr/>
        <w:t>Term:  January, 2001 through December, 2007</w:t>
      </w:r>
    </w:p>
    <w:p>
      <w:pPr>
        <w:pStyle w:val="Normal"/>
        <w:rPr/>
      </w:pPr>
      <w:r>
        <w:rPr/>
        <w:t>Quantity:  2,000,000 tons/yr  (roughly 10MMtons on a PV basis)</w:t>
      </w:r>
    </w:p>
    <w:p>
      <w:pPr>
        <w:pStyle w:val="Normal"/>
        <w:rPr/>
      </w:pPr>
      <w:r>
        <w:rPr/>
      </w:r>
    </w:p>
    <w:p>
      <w:pPr>
        <w:pStyle w:val="Normal"/>
        <w:rPr/>
      </w:pPr>
      <w:r>
        <w:rPr/>
        <w:t>We are short coal and long the synfuel for the term. Biggest risk in the deal is penalties for not making minimums (2Mmtons/yr), which are priced at tax credit ($26/ton).</w:t>
      </w:r>
    </w:p>
    <w:p>
      <w:pPr>
        <w:pStyle w:val="Normal"/>
        <w:rPr/>
      </w:pPr>
      <w:r>
        <w:rPr/>
      </w:r>
    </w:p>
    <w:p>
      <w:pPr>
        <w:pStyle w:val="Normal"/>
        <w:rPr/>
      </w:pPr>
      <w:r>
        <w:rPr/>
        <w:t>We are short the spread at $5.25/ton.  We believe this should be valued at $2.75/ton over the seven year term meaning a $25 MM mark to market.</w:t>
      </w:r>
    </w:p>
    <w:p>
      <w:pPr>
        <w:pStyle w:val="Normal"/>
        <w:rPr/>
      </w:pPr>
      <w:r>
        <w:rPr/>
      </w:r>
    </w:p>
    <w:p>
      <w:pPr>
        <w:pStyle w:val="Normal"/>
        <w:rPr/>
      </w:pPr>
      <w:r>
        <w:rPr/>
        <w:t>SCEG deal:</w:t>
      </w:r>
    </w:p>
    <w:p>
      <w:pPr>
        <w:pStyle w:val="Normal"/>
        <w:rPr/>
      </w:pPr>
      <w:r>
        <w:rPr/>
      </w:r>
    </w:p>
    <w:p>
      <w:pPr>
        <w:pStyle w:val="Normal"/>
        <w:rPr/>
      </w:pPr>
      <w:r>
        <w:rPr/>
        <w:t>We have entered into a sleeve transaction with Primesouth which is the following:</w:t>
      </w:r>
    </w:p>
    <w:p>
      <w:pPr>
        <w:pStyle w:val="Normal"/>
        <w:rPr/>
      </w:pPr>
      <w:r>
        <w:rPr/>
      </w:r>
    </w:p>
    <w:p>
      <w:pPr>
        <w:pStyle w:val="Normal"/>
        <w:rPr/>
      </w:pPr>
      <w:r>
        <w:rPr/>
        <w:t>Enron Buys:</w:t>
      </w:r>
    </w:p>
    <w:p>
      <w:pPr>
        <w:pStyle w:val="Normal"/>
        <w:rPr/>
      </w:pPr>
      <w:r>
        <w:rPr/>
        <w:t>Delivery Point:  CSX- New River</w:t>
      </w:r>
    </w:p>
    <w:p>
      <w:pPr>
        <w:pStyle w:val="Normal"/>
        <w:rPr/>
      </w:pPr>
      <w:r>
        <w:rPr/>
        <w:t>Term: April, 2001 through March, 2008</w:t>
      </w:r>
    </w:p>
    <w:p>
      <w:pPr>
        <w:pStyle w:val="Normal"/>
        <w:rPr/>
      </w:pPr>
      <w:r>
        <w:rPr/>
        <w:t>Quantity: 2 MMtons/annually</w:t>
      </w:r>
    </w:p>
    <w:p>
      <w:pPr>
        <w:pStyle w:val="Normal"/>
        <w:rPr/>
      </w:pPr>
      <w:r>
        <w:rPr/>
        <w:t>Price $28.55/ton escalating $.01/year</w:t>
      </w:r>
    </w:p>
    <w:p>
      <w:pPr>
        <w:pStyle w:val="Normal"/>
        <w:rPr/>
      </w:pPr>
      <w:r>
        <w:rPr/>
      </w:r>
    </w:p>
    <w:p>
      <w:pPr>
        <w:pStyle w:val="Normal"/>
        <w:rPr/>
      </w:pPr>
      <w:r>
        <w:rPr/>
        <w:t>This transaction does not have liquidation damage provisions therefore not mark to market.</w:t>
      </w:r>
    </w:p>
    <w:p>
      <w:pPr>
        <w:pStyle w:val="Normal"/>
        <w:rPr/>
      </w:pPr>
      <w:r>
        <w:rPr/>
      </w:r>
    </w:p>
    <w:p>
      <w:pPr>
        <w:pStyle w:val="Normal"/>
        <w:rPr/>
      </w:pPr>
      <w:r>
        <w:rPr/>
        <w:t>Enron Sells:</w:t>
      </w:r>
    </w:p>
    <w:p>
      <w:pPr>
        <w:pStyle w:val="Normal"/>
        <w:rPr/>
      </w:pPr>
      <w:r>
        <w:rPr/>
        <w:t xml:space="preserve">Delivery Point:  NS- Kanawha </w:t>
      </w:r>
    </w:p>
    <w:p>
      <w:pPr>
        <w:pStyle w:val="Normal"/>
        <w:rPr/>
      </w:pPr>
      <w:r>
        <w:rPr/>
        <w:t>Term: April, 2001 through March, 2008</w:t>
      </w:r>
    </w:p>
    <w:p>
      <w:pPr>
        <w:pStyle w:val="Normal"/>
        <w:rPr/>
      </w:pPr>
      <w:r>
        <w:rPr/>
        <w:t>Quantity: 2 MMtons/annually</w:t>
      </w:r>
    </w:p>
    <w:p>
      <w:pPr>
        <w:pStyle w:val="Normal"/>
        <w:rPr/>
      </w:pPr>
      <w:r>
        <w:rPr/>
        <w:t>Price $27.00/ton</w:t>
      </w:r>
    </w:p>
    <w:p>
      <w:pPr>
        <w:pStyle w:val="Normal"/>
        <w:rPr/>
      </w:pPr>
      <w:r>
        <w:rPr/>
      </w:r>
    </w:p>
    <w:p>
      <w:pPr>
        <w:pStyle w:val="Normal"/>
        <w:rPr/>
      </w:pPr>
      <w:r>
        <w:rPr/>
        <w:t>This transaction does have liquidation damage provisions therefore mark to market.</w:t>
      </w:r>
    </w:p>
    <w:p>
      <w:pPr>
        <w:pStyle w:val="Normal"/>
        <w:rPr/>
      </w:pPr>
      <w:r>
        <w:rPr/>
        <w:t xml:space="preserve">Marked $23.7 MM </w:t>
      </w:r>
    </w:p>
    <w:p>
      <w:pPr>
        <w:pStyle w:val="Normal"/>
        <w:rPr/>
      </w:pPr>
      <w:r>
        <w:rPr/>
      </w:r>
    </w:p>
    <w:p>
      <w:pPr>
        <w:pStyle w:val="Normal"/>
        <w:rPr/>
      </w:pPr>
      <w:r>
        <w:rPr/>
        <w:t>Sleeve cost: roughly $800,000 over the term with no physical delivery risk.</w:t>
      </w:r>
    </w:p>
    <w:p>
      <w:pPr>
        <w:pStyle w:val="Normal"/>
        <w:rPr/>
      </w:pPr>
      <w:r>
        <w:rPr/>
        <w:t xml:space="preserve"> </w:t>
      </w:r>
    </w:p>
    <w:p>
      <w:pPr>
        <w:pStyle w:val="Normal"/>
        <w:rPr>
          <w:b/>
          <w:bCs/>
          <w:sz w:val="24"/>
          <w:szCs w:val="24"/>
        </w:rPr>
      </w:pPr>
      <w:r>
        <w:rPr>
          <w:b/>
          <w:bCs/>
          <w:sz w:val="24"/>
          <w:szCs w:val="24"/>
        </w:rPr>
        <w:t>External Summary:</w:t>
      </w:r>
    </w:p>
    <w:p>
      <w:pPr>
        <w:pStyle w:val="Normal"/>
        <w:rPr>
          <w:b/>
          <w:bCs/>
          <w:sz w:val="24"/>
          <w:szCs w:val="24"/>
        </w:rPr>
      </w:pPr>
      <w:r>
        <w:rPr>
          <w:b/>
          <w:bCs/>
          <w:sz w:val="24"/>
          <w:szCs w:val="24"/>
        </w:rPr>
      </w:r>
    </w:p>
    <w:p>
      <w:pPr>
        <w:pStyle w:val="Normal"/>
        <w:rPr/>
      </w:pPr>
      <w:r>
        <w:rPr/>
        <w:t>There were several meetings in December in January with AA representatives regarding the Primesouth trade.  They were concerned that the trades were not at market and possibly connected. Our explanation was the following:</w:t>
      </w:r>
    </w:p>
    <w:p>
      <w:pPr>
        <w:pStyle w:val="Normal"/>
        <w:rPr/>
      </w:pPr>
      <w:r>
        <w:rPr/>
      </w:r>
    </w:p>
    <w:p>
      <w:pPr>
        <w:pStyle w:val="Normal"/>
        <w:rPr/>
      </w:pPr>
      <w:r>
        <w:rPr/>
        <w:t>CSX- New River purchase:</w:t>
      </w:r>
    </w:p>
    <w:p>
      <w:pPr>
        <w:pStyle w:val="Normal"/>
        <w:rPr/>
      </w:pPr>
      <w:r>
        <w:rPr/>
        <w:t>This contract is solely for delivery to Pier IX (Sempra deal).  This was done at a market price and the security of supply and credit of the counterparty was important.</w:t>
      </w:r>
    </w:p>
    <w:p>
      <w:pPr>
        <w:pStyle w:val="Normal"/>
        <w:rPr/>
      </w:pPr>
      <w:r>
        <w:rPr/>
      </w:r>
    </w:p>
    <w:p>
      <w:pPr>
        <w:pStyle w:val="Normal"/>
        <w:rPr/>
      </w:pPr>
      <w:r>
        <w:rPr/>
        <w:t>NS- Kanawha :</w:t>
      </w:r>
    </w:p>
    <w:p>
      <w:pPr>
        <w:pStyle w:val="Normal"/>
        <w:rPr/>
      </w:pPr>
      <w:r>
        <w:rPr/>
        <w:t>This was a trading contract and is a long term short.  It is a trading position put on due to our long term view of the NS coal market (down).  $23 MM was booked from this transaction.</w:t>
      </w:r>
    </w:p>
    <w:p>
      <w:pPr>
        <w:pStyle w:val="Normal"/>
        <w:rPr/>
      </w:pPr>
      <w:r>
        <w:rPr/>
      </w:r>
    </w:p>
    <w:p>
      <w:pPr>
        <w:pStyle w:val="Normal"/>
        <w:rPr>
          <w:b/>
          <w:bCs/>
          <w:sz w:val="24"/>
          <w:szCs w:val="24"/>
        </w:rPr>
      </w:pPr>
      <w:r>
        <w:rPr>
          <w:b/>
          <w:bCs/>
          <w:sz w:val="24"/>
          <w:szCs w:val="24"/>
        </w:rPr>
        <w:t>Overall Summary:</w:t>
      </w:r>
    </w:p>
    <w:p>
      <w:pPr>
        <w:pStyle w:val="Normal"/>
        <w:rPr>
          <w:b/>
          <w:bCs/>
          <w:sz w:val="24"/>
          <w:szCs w:val="24"/>
        </w:rPr>
      </w:pPr>
      <w:r>
        <w:rPr>
          <w:b/>
          <w:bCs/>
          <w:sz w:val="24"/>
          <w:szCs w:val="24"/>
        </w:rPr>
      </w:r>
    </w:p>
    <w:p>
      <w:pPr>
        <w:pStyle w:val="Normal"/>
        <w:rPr/>
      </w:pPr>
      <w:r>
        <w:rPr/>
        <w:t>The net result is we are showing a 10MM ton short position reflected in our volumetric limits which exists only because of the sleeve transaction.  The volumetric limits (roughly 17.5MM tons) are inaccurate due to the sleeve transaction.  Our true risk position for the combined Sempra/Primesouth transaction is short a spread between coal and synfuel, or net flat positionally.  As you are aware, with Sempra currently headed towards litigation all of this will have to be dealt with over the next month.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2001-02-07T12:12:00Z</dcterms:created>
  <dc:creator>kmcgowa</dc:creator>
  <dc:description/>
  <dc:language>en-CA</dc:language>
  <cp:lastModifiedBy>kmcgowa</cp:lastModifiedBy>
  <dcterms:modified xsi:type="dcterms:W3CDTF">2001-02-07T13:14:00Z</dcterms:modified>
  <cp:revision>1</cp:revision>
  <dc:subject/>
  <dc:title>Sempra/SCEG Transaction summary</dc:title>
</cp:coreProperties>
</file>