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u w:val="single"/>
        </w:rPr>
      </w:pPr>
      <w:r>
        <w:rPr>
          <w:u w:val="single"/>
          <w:bdr w:val="single" w:sz="4" w:space="0" w:color="000000"/>
        </w:rPr>
        <w:t>Objectives</w:t>
      </w:r>
    </w:p>
    <w:p>
      <w:pPr>
        <w:pStyle w:val="Normal"/>
        <w:jc w:val="both"/>
        <w:rPr>
          <w:u w:val="single"/>
        </w:rPr>
      </w:pPr>
      <w:r>
        <w:rPr>
          <w:u w:val="single"/>
        </w:rPr>
      </w:r>
    </w:p>
    <w:p>
      <w:pPr>
        <w:pStyle w:val="Normal"/>
        <w:numPr>
          <w:ilvl w:val="0"/>
          <w:numId w:val="3"/>
        </w:numPr>
        <w:spacing w:before="0" w:after="120"/>
        <w:jc w:val="both"/>
        <w:rPr/>
      </w:pPr>
      <w:r>
        <w:rPr/>
        <w:t>Delay any real decision until after Hebert leaves</w:t>
      </w:r>
    </w:p>
    <w:p>
      <w:pPr>
        <w:pStyle w:val="Normal"/>
        <w:numPr>
          <w:ilvl w:val="0"/>
          <w:numId w:val="3"/>
        </w:numPr>
        <w:tabs>
          <w:tab w:val="clear" w:pos="720"/>
        </w:tabs>
        <w:spacing w:before="0" w:after="120"/>
        <w:jc w:val="both"/>
        <w:rPr/>
      </w:pPr>
      <w:r>
        <w:rPr/>
        <w:t>Change decision:</w:t>
      </w:r>
    </w:p>
    <w:p>
      <w:pPr>
        <w:pStyle w:val="Normal"/>
        <w:numPr>
          <w:ilvl w:val="0"/>
          <w:numId w:val="4"/>
        </w:numPr>
        <w:spacing w:before="0" w:after="120"/>
        <w:jc w:val="both"/>
        <w:rPr/>
      </w:pPr>
      <w:r>
        <w:rPr/>
        <w:t>j&amp;r of California fwd ks.</w:t>
      </w:r>
    </w:p>
    <w:p>
      <w:pPr>
        <w:pStyle w:val="Normal"/>
        <w:numPr>
          <w:ilvl w:val="0"/>
          <w:numId w:val="4"/>
        </w:numPr>
        <w:spacing w:before="0" w:after="120"/>
        <w:jc w:val="both"/>
        <w:rPr/>
      </w:pPr>
      <w:r>
        <w:rPr/>
        <w:t xml:space="preserve">refunds based on </w:t>
      </w:r>
    </w:p>
    <w:p>
      <w:pPr>
        <w:pStyle w:val="Normal"/>
        <w:numPr>
          <w:ilvl w:val="0"/>
          <w:numId w:val="5"/>
        </w:numPr>
        <w:spacing w:before="0" w:after="120"/>
        <w:jc w:val="both"/>
        <w:rPr/>
      </w:pPr>
      <w:r>
        <w:rPr/>
        <w:t>real facts</w:t>
      </w:r>
    </w:p>
    <w:p>
      <w:pPr>
        <w:pStyle w:val="Normal"/>
        <w:numPr>
          <w:ilvl w:val="0"/>
          <w:numId w:val="5"/>
        </w:numPr>
        <w:spacing w:before="0" w:after="120"/>
        <w:jc w:val="both"/>
        <w:rPr/>
      </w:pPr>
      <w:r>
        <w:rPr/>
        <w:t>real accounting of the culpability of market structure in creating the problem.</w:t>
      </w:r>
    </w:p>
    <w:p>
      <w:pPr>
        <w:pStyle w:val="Normal"/>
        <w:numPr>
          <w:ilvl w:val="0"/>
          <w:numId w:val="4"/>
        </w:numPr>
        <w:spacing w:before="0" w:after="120"/>
        <w:jc w:val="both"/>
        <w:rPr/>
      </w:pPr>
      <w:r>
        <w:rPr/>
        <w:t>Enforce the market structure changes already ordered by FERC.</w:t>
      </w:r>
    </w:p>
    <w:p>
      <w:pPr>
        <w:pStyle w:val="Normal"/>
        <w:numPr>
          <w:ilvl w:val="0"/>
          <w:numId w:val="3"/>
        </w:numPr>
        <w:tabs>
          <w:tab w:val="clear" w:pos="720"/>
        </w:tabs>
        <w:jc w:val="both"/>
        <w:rPr/>
      </w:pPr>
      <w:r>
        <w:rPr/>
        <w:t>Change perception of Enron:  Enron is owed $.  Enron is entitled to refunds.</w:t>
      </w:r>
    </w:p>
    <w:p>
      <w:pPr>
        <w:pStyle w:val="Normal"/>
        <w:jc w:val="both"/>
        <w:rPr/>
      </w:pPr>
      <w:r>
        <w:rPr/>
      </w:r>
    </w:p>
    <w:p>
      <w:pPr>
        <w:pStyle w:val="Heading1"/>
        <w:ind w:hanging="0" w:start="0"/>
        <w:jc w:val="both"/>
        <w:rPr>
          <w:u w:val="single"/>
        </w:rPr>
      </w:pPr>
      <w:r>
        <w:rPr>
          <w:u w:val="single"/>
          <w:bdr w:val="single" w:sz="4" w:space="0" w:color="000000"/>
        </w:rPr>
        <w:t>Audience</w:t>
      </w:r>
    </w:p>
    <w:p>
      <w:pPr>
        <w:pStyle w:val="Normal"/>
        <w:jc w:val="both"/>
        <w:rPr>
          <w:u w:val="single"/>
        </w:rPr>
      </w:pPr>
      <w:r>
        <w:rPr>
          <w:u w:val="single"/>
        </w:rPr>
      </w:r>
    </w:p>
    <w:p>
      <w:pPr>
        <w:pStyle w:val="Normal"/>
        <w:numPr>
          <w:ilvl w:val="0"/>
          <w:numId w:val="3"/>
        </w:numPr>
        <w:tabs>
          <w:tab w:val="clear" w:pos="720"/>
        </w:tabs>
        <w:spacing w:before="0" w:after="120"/>
        <w:jc w:val="both"/>
        <w:rPr/>
      </w:pPr>
      <w:r>
        <w:rPr/>
        <w:t>FERC</w:t>
      </w:r>
    </w:p>
    <w:p>
      <w:pPr>
        <w:pStyle w:val="Normal"/>
        <w:numPr>
          <w:ilvl w:val="0"/>
          <w:numId w:val="3"/>
        </w:numPr>
        <w:tabs>
          <w:tab w:val="clear" w:pos="720"/>
        </w:tabs>
        <w:jc w:val="both"/>
        <w:rPr/>
      </w:pPr>
      <w:r>
        <w:rPr/>
        <w:t>Capitol Hill</w:t>
      </w:r>
    </w:p>
    <w:p>
      <w:pPr>
        <w:pStyle w:val="Normal"/>
        <w:jc w:val="both"/>
        <w:rPr/>
      </w:pPr>
      <w:r>
        <w:rPr/>
      </w:r>
    </w:p>
    <w:p>
      <w:pPr>
        <w:pStyle w:val="Heading1"/>
        <w:ind w:hanging="0" w:start="0"/>
        <w:jc w:val="both"/>
        <w:rPr>
          <w:u w:val="single"/>
        </w:rPr>
      </w:pPr>
      <w:r>
        <w:rPr>
          <w:u w:val="single"/>
          <w:bdr w:val="single" w:sz="4" w:space="0" w:color="000000"/>
        </w:rPr>
        <w:t>Messages</w:t>
      </w:r>
    </w:p>
    <w:p>
      <w:pPr>
        <w:pStyle w:val="Normal"/>
        <w:jc w:val="both"/>
        <w:rPr>
          <w:u w:val="single"/>
        </w:rPr>
      </w:pPr>
      <w:r>
        <w:rPr>
          <w:u w:val="single"/>
        </w:rPr>
      </w:r>
    </w:p>
    <w:p>
      <w:pPr>
        <w:pStyle w:val="Normal"/>
        <w:numPr>
          <w:ilvl w:val="0"/>
          <w:numId w:val="3"/>
        </w:numPr>
        <w:tabs>
          <w:tab w:val="clear" w:pos="720"/>
        </w:tabs>
        <w:spacing w:before="0" w:after="120"/>
        <w:jc w:val="both"/>
        <w:rPr/>
      </w:pPr>
      <w:r>
        <w:rPr/>
        <w:t>California’s crisis was created by, and is extended by, a lack of political will.  Decision makers have focused more on finding scapegoats than on fixing the problem.  This approach has cost California consumers billions of dollars (see attached “lack of political will = higher bills”).  With the recent conclusion of out-of-the money power purchase contracts by the state of California, the losses continue to mount.</w:t>
      </w:r>
    </w:p>
    <w:p>
      <w:pPr>
        <w:pStyle w:val="Normal"/>
        <w:numPr>
          <w:ilvl w:val="0"/>
          <w:numId w:val="3"/>
        </w:numPr>
        <w:tabs>
          <w:tab w:val="clear" w:pos="720"/>
        </w:tabs>
        <w:spacing w:before="0" w:after="120"/>
        <w:jc w:val="both"/>
        <w:rPr/>
      </w:pPr>
      <w:r>
        <w:rPr/>
        <w:t>The structure of the California market, its regulation, and the activist role of the state continue to be the problem.</w:t>
      </w:r>
    </w:p>
    <w:p>
      <w:pPr>
        <w:pStyle w:val="Normal"/>
        <w:numPr>
          <w:ilvl w:val="0"/>
          <w:numId w:val="2"/>
        </w:numPr>
        <w:spacing w:before="0" w:after="120"/>
        <w:jc w:val="both"/>
        <w:rPr/>
      </w:pPr>
      <w:r>
        <w:rPr/>
        <w:t>FERC orders have pointed this out time and again.  (quotes &amp; cites).</w:t>
      </w:r>
    </w:p>
    <w:p>
      <w:pPr>
        <w:pStyle w:val="Normal"/>
        <w:numPr>
          <w:ilvl w:val="0"/>
          <w:numId w:val="2"/>
        </w:numPr>
        <w:spacing w:before="0" w:after="120"/>
        <w:jc w:val="both"/>
        <w:rPr/>
      </w:pPr>
      <w:r>
        <w:rPr/>
        <w:t>California has largely ignored the structural fixes ordered by FERC (quotes &amp; cites).</w:t>
      </w:r>
    </w:p>
    <w:p>
      <w:pPr>
        <w:pStyle w:val="Normal"/>
        <w:numPr>
          <w:ilvl w:val="0"/>
          <w:numId w:val="2"/>
        </w:numPr>
        <w:spacing w:before="0" w:after="120"/>
        <w:jc w:val="both"/>
        <w:rPr/>
      </w:pPr>
      <w:r>
        <w:rPr/>
        <w:t>Now, instead of insisting on compliance with its orders and findings, FERC too has caved in to political considerations and ordered price caps and a refund process.</w:t>
      </w:r>
    </w:p>
    <w:p>
      <w:pPr>
        <w:pStyle w:val="Normal"/>
        <w:numPr>
          <w:ilvl w:val="0"/>
          <w:numId w:val="3"/>
        </w:numPr>
        <w:tabs>
          <w:tab w:val="clear" w:pos="720"/>
          <w:tab w:val="left" w:pos="360" w:leader="none"/>
        </w:tabs>
        <w:spacing w:before="0" w:after="120"/>
        <w:jc w:val="both"/>
        <w:rPr/>
      </w:pPr>
      <w:r>
        <w:rPr/>
        <w:t>FERC’s actions are now hurting Western customers</w:t>
      </w:r>
    </w:p>
    <w:p>
      <w:pPr>
        <w:pStyle w:val="Normal"/>
        <w:numPr>
          <w:ilvl w:val="0"/>
          <w:numId w:val="2"/>
        </w:numPr>
        <w:spacing w:before="0" w:after="120"/>
        <w:jc w:val="both"/>
        <w:rPr/>
      </w:pPr>
      <w:r>
        <w:rPr/>
        <w:t>Western utilities who relied on wholesale sales revenues to keep rates low are now facing lower revenues (and potentially higher rates to their consumers) as a result of the FERC price cap.</w:t>
      </w:r>
    </w:p>
    <w:p>
      <w:pPr>
        <w:pStyle w:val="Normal"/>
        <w:numPr>
          <w:ilvl w:val="0"/>
          <w:numId w:val="2"/>
        </w:numPr>
        <w:spacing w:before="0" w:after="120"/>
        <w:jc w:val="both"/>
        <w:rPr/>
      </w:pPr>
      <w:r>
        <w:rPr/>
        <w:t>Other Western states are facing blackouts as a result of the FERC price cap.</w:t>
      </w:r>
    </w:p>
    <w:p>
      <w:pPr>
        <w:pStyle w:val="Normal"/>
        <w:numPr>
          <w:ilvl w:val="0"/>
          <w:numId w:val="3"/>
        </w:numPr>
        <w:tabs>
          <w:tab w:val="clear" w:pos="720"/>
        </w:tabs>
        <w:spacing w:before="0" w:after="120"/>
        <w:jc w:val="both"/>
        <w:rPr/>
      </w:pPr>
      <w:r>
        <w:rPr/>
        <w:t>FERC is now pursuing refunds which are not based on real facts, a real reckoning of the problem, nor recognition of the limits of its jurisdiction.</w:t>
      </w:r>
    </w:p>
    <w:p>
      <w:pPr>
        <w:pStyle w:val="Normal"/>
        <w:numPr>
          <w:ilvl w:val="0"/>
          <w:numId w:val="2"/>
        </w:numPr>
        <w:spacing w:before="0" w:after="120"/>
        <w:jc w:val="both"/>
        <w:rPr/>
      </w:pPr>
      <w:r>
        <w:rPr/>
        <w:t>FERC should assess the real culpability of the flawed market structure in producing the price levels in California (California forced everyone into the short term market - - like forcing all passengers to buy their plane tickets at the last minute).  The problem is not airline behavior (to extend the analogy) it’s the market structure which forced the last minute buying.</w:t>
      </w:r>
    </w:p>
    <w:p>
      <w:pPr>
        <w:pStyle w:val="Normal"/>
        <w:numPr>
          <w:ilvl w:val="0"/>
          <w:numId w:val="2"/>
        </w:numPr>
        <w:spacing w:before="0" w:after="120"/>
        <w:jc w:val="both"/>
        <w:rPr/>
      </w:pPr>
      <w:r>
        <w:rPr/>
        <w:t>FERC must base its findings on real facts not retroactive application of orders, oddly–formulated proxy prices, or “what ifs”.  FERC has found scant, if any, evidence of market power.  It cannot order refunds without real fact-based findings.</w:t>
      </w:r>
    </w:p>
    <w:p>
      <w:pPr>
        <w:pStyle w:val="Normal"/>
        <w:numPr>
          <w:ilvl w:val="0"/>
          <w:numId w:val="3"/>
        </w:numPr>
        <w:tabs>
          <w:tab w:val="clear" w:pos="720"/>
          <w:tab w:val="left" w:pos="360" w:leader="none"/>
          <w:tab w:val="left" w:pos="792" w:leader="none"/>
        </w:tabs>
        <w:spacing w:before="0" w:after="120"/>
        <w:jc w:val="both"/>
        <w:rPr/>
      </w:pPr>
      <w:r>
        <w:rPr/>
        <w:t>Instead, the structure in California needs to be changed . . . and policy makers must find the courage to do it.</w:t>
      </w:r>
    </w:p>
    <w:p>
      <w:pPr>
        <w:pStyle w:val="Normal"/>
        <w:numPr>
          <w:ilvl w:val="0"/>
          <w:numId w:val="2"/>
        </w:numPr>
        <w:tabs>
          <w:tab w:val="clear" w:pos="720"/>
          <w:tab w:val="left" w:pos="360" w:leader="none"/>
        </w:tabs>
        <w:spacing w:before="0" w:after="120"/>
        <w:jc w:val="both"/>
        <w:rPr/>
      </w:pPr>
      <w:r>
        <w:rPr/>
        <w:t>Open the market; give customers choices;</w:t>
      </w:r>
    </w:p>
    <w:p>
      <w:pPr>
        <w:pStyle w:val="Normal"/>
        <w:numPr>
          <w:ilvl w:val="0"/>
          <w:numId w:val="2"/>
        </w:numPr>
        <w:tabs>
          <w:tab w:val="clear" w:pos="720"/>
          <w:tab w:val="left" w:pos="360" w:leader="none"/>
        </w:tabs>
        <w:spacing w:before="0" w:after="120"/>
        <w:jc w:val="both"/>
        <w:rPr/>
      </w:pPr>
      <w:r>
        <w:rPr/>
        <w:t>Get the state out of the power business;</w:t>
      </w:r>
    </w:p>
    <w:p>
      <w:pPr>
        <w:pStyle w:val="Normal"/>
        <w:numPr>
          <w:ilvl w:val="0"/>
          <w:numId w:val="2"/>
        </w:numPr>
        <w:tabs>
          <w:tab w:val="clear" w:pos="720"/>
          <w:tab w:val="left" w:pos="360" w:leader="none"/>
        </w:tabs>
        <w:spacing w:before="0" w:after="120"/>
        <w:jc w:val="both"/>
        <w:rPr/>
      </w:pPr>
      <w:r>
        <w:rPr/>
        <w:t>Make the market structure changes FERC has already ordered;</w:t>
      </w:r>
    </w:p>
    <w:p>
      <w:pPr>
        <w:pStyle w:val="Normal"/>
        <w:numPr>
          <w:ilvl w:val="0"/>
          <w:numId w:val="2"/>
        </w:numPr>
        <w:tabs>
          <w:tab w:val="clear" w:pos="720"/>
          <w:tab w:val="left" w:pos="360" w:leader="none"/>
        </w:tabs>
        <w:spacing w:before="0" w:after="120"/>
        <w:jc w:val="both"/>
        <w:rPr/>
      </w:pPr>
      <w:r>
        <w:rPr/>
        <w:t>Pay the bills;</w:t>
      </w:r>
    </w:p>
    <w:p>
      <w:pPr>
        <w:pStyle w:val="Normal"/>
        <w:numPr>
          <w:ilvl w:val="0"/>
          <w:numId w:val="2"/>
        </w:numPr>
        <w:tabs>
          <w:tab w:val="clear" w:pos="720"/>
          <w:tab w:val="left" w:pos="360" w:leader="none"/>
        </w:tabs>
        <w:spacing w:before="0" w:after="120"/>
        <w:jc w:val="both"/>
        <w:rPr/>
      </w:pPr>
      <w:r>
        <w:rPr/>
        <w:t>Return utilities to solvency;</w:t>
      </w:r>
    </w:p>
    <w:p>
      <w:pPr>
        <w:pStyle w:val="Normal"/>
        <w:numPr>
          <w:ilvl w:val="0"/>
          <w:numId w:val="2"/>
        </w:numPr>
        <w:tabs>
          <w:tab w:val="clear" w:pos="720"/>
          <w:tab w:val="left" w:pos="360" w:leader="none"/>
        </w:tabs>
        <w:spacing w:before="0" w:after="120"/>
        <w:jc w:val="both"/>
        <w:rPr/>
      </w:pPr>
      <w:r>
        <w:rPr/>
        <w:t>Eliminate price caps:  add supply; reduce demand.</w:t>
      </w:r>
    </w:p>
    <w:p>
      <w:pPr>
        <w:pStyle w:val="Normal"/>
        <w:numPr>
          <w:ilvl w:val="0"/>
          <w:numId w:val="3"/>
        </w:numPr>
        <w:tabs>
          <w:tab w:val="clear" w:pos="720"/>
          <w:tab w:val="left" w:pos="360" w:leader="none"/>
          <w:tab w:val="left" w:pos="792" w:leader="none"/>
        </w:tabs>
        <w:spacing w:before="0" w:after="120"/>
        <w:jc w:val="both"/>
        <w:rPr/>
      </w:pPr>
      <w:r>
        <w:rPr/>
        <w:t>Finally, understand Enron’s perspective:</w:t>
      </w:r>
    </w:p>
    <w:p>
      <w:pPr>
        <w:pStyle w:val="Normal"/>
        <w:numPr>
          <w:ilvl w:val="0"/>
          <w:numId w:val="2"/>
        </w:numPr>
        <w:tabs>
          <w:tab w:val="clear" w:pos="720"/>
          <w:tab w:val="left" w:pos="360" w:leader="none"/>
        </w:tabs>
        <w:spacing w:before="0" w:after="120"/>
        <w:jc w:val="both"/>
        <w:rPr/>
      </w:pPr>
      <w:r>
        <w:rPr/>
        <w:t>Enron is not a generator.</w:t>
      </w:r>
    </w:p>
    <w:p>
      <w:pPr>
        <w:pStyle w:val="Normal"/>
        <w:numPr>
          <w:ilvl w:val="0"/>
          <w:numId w:val="2"/>
        </w:numPr>
        <w:tabs>
          <w:tab w:val="clear" w:pos="720"/>
          <w:tab w:val="left" w:pos="360" w:leader="none"/>
        </w:tabs>
        <w:spacing w:before="0" w:after="120"/>
        <w:jc w:val="both"/>
        <w:rPr/>
      </w:pPr>
      <w:r>
        <w:rPr/>
        <w:t>Enron makes markets, buying and selling power.</w:t>
      </w:r>
    </w:p>
    <w:p>
      <w:pPr>
        <w:pStyle w:val="Normal"/>
        <w:numPr>
          <w:ilvl w:val="0"/>
          <w:numId w:val="2"/>
        </w:numPr>
        <w:tabs>
          <w:tab w:val="clear" w:pos="720"/>
          <w:tab w:val="left" w:pos="360" w:leader="none"/>
        </w:tabs>
        <w:spacing w:before="0" w:after="120"/>
        <w:jc w:val="both"/>
        <w:rPr/>
      </w:pPr>
      <w:r>
        <w:rPr/>
        <w:t>Enron was a net buyer during the period FERC is investigating . . . Enron is entitled to refunds under the California ISO’s methodology.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792"/>
        </w:tabs>
        <w:ind w:start="792" w:hanging="360"/>
      </w:pPr>
      <w:rPr>
        <w:rFonts w:ascii="Symbol" w:hAnsi="Symbol" w:cs="Symbol" w:hint="default"/>
      </w:rPr>
    </w:lvl>
  </w:abstractNum>
  <w:abstractNum w:abstractNumId="5">
    <w:lvl w:ilvl="0">
      <w:start w:val="1"/>
      <w:numFmt w:val="decimal"/>
      <w:lvlText w:val="(%1)"/>
      <w:lvlJc w:val="start"/>
      <w:pPr>
        <w:tabs>
          <w:tab w:val="num" w:pos="1152"/>
        </w:tabs>
        <w:ind w:start="1152"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2001-07-06T17:37:00Z</dcterms:created>
  <dc:creator>mmcvick</dc:creator>
  <dc:description/>
  <dc:language>en-CA</dc:language>
  <cp:lastModifiedBy>mmcvick</cp:lastModifiedBy>
  <cp:lastPrinted>2001-07-06T16:22:00Z</cp:lastPrinted>
  <dcterms:modified xsi:type="dcterms:W3CDTF">2001-07-06T18:55:00Z</dcterms:modified>
  <cp:revision>4</cp:revision>
  <dc:subject/>
  <dc:title>Objectives</dc:title>
</cp:coreProperties>
</file>