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s>
        <w:rPr/>
      </w:pPr>
      <w:r>
        <w:rPr/>
      </w:r>
      <w:bookmarkStart w:id="0" w:name="Status"/>
      <w:bookmarkStart w:id="1" w:name="Status"/>
      <w:bookmarkEnd w:id="1"/>
    </w:p>
    <w:tbl>
      <w:tblPr>
        <w:tblW w:w="9468" w:type="dxa"/>
        <w:jc w:val="start"/>
        <w:tblInd w:w="0" w:type="dxa"/>
        <w:tblLayout w:type="fixed"/>
        <w:tblCellMar>
          <w:top w:w="0" w:type="dxa"/>
          <w:start w:w="108" w:type="dxa"/>
          <w:bottom w:w="0" w:type="dxa"/>
          <w:end w:w="108" w:type="dxa"/>
        </w:tblCellMar>
      </w:tblPr>
      <w:tblGrid>
        <w:gridCol w:w="1368"/>
        <w:gridCol w:w="8100"/>
      </w:tblGrid>
      <w:tr>
        <w:trPr/>
        <w:tc>
          <w:tcPr>
            <w:tcW w:w="1368" w:type="dxa"/>
            <w:tcBorders/>
          </w:tcPr>
          <w:p>
            <w:pPr>
              <w:pStyle w:val="Normal"/>
              <w:tabs>
                <w:tab w:val="clear" w:pos="720"/>
                <w:tab w:val="right" w:pos="8931" w:leader="none"/>
              </w:tabs>
              <w:rPr/>
            </w:pPr>
            <w:r>
              <w:rPr/>
              <w:t>To:</w:t>
            </w:r>
          </w:p>
        </w:tc>
        <w:tc>
          <w:tcPr>
            <w:tcW w:w="8100" w:type="dxa"/>
            <w:tcBorders/>
          </w:tcPr>
          <w:p>
            <w:pPr>
              <w:pStyle w:val="Normal"/>
              <w:tabs>
                <w:tab w:val="clear" w:pos="720"/>
                <w:tab w:val="right" w:pos="8931" w:leader="none"/>
              </w:tabs>
              <w:rPr/>
            </w:pPr>
            <w:bookmarkStart w:id="2" w:name="To"/>
            <w:bookmarkEnd w:id="2"/>
            <w:r>
              <w:rPr/>
              <w:t>ISDA's Master Agreement Structural Issues Working Group</w:t>
            </w:r>
          </w:p>
        </w:tc>
      </w:tr>
      <w:tr>
        <w:trPr/>
        <w:tc>
          <w:tcPr>
            <w:tcW w:w="1368" w:type="dxa"/>
            <w:tcBorders/>
          </w:tcPr>
          <w:p>
            <w:pPr>
              <w:pStyle w:val="Normal"/>
              <w:tabs>
                <w:tab w:val="clear" w:pos="720"/>
                <w:tab w:val="right" w:pos="8931" w:leader="none"/>
              </w:tabs>
              <w:snapToGrid w:val="false"/>
              <w:rPr/>
            </w:pPr>
            <w:r>
              <w:rPr/>
            </w:r>
            <w:bookmarkStart w:id="3" w:name="Copy"/>
            <w:bookmarkStart w:id="4" w:name="Copy"/>
            <w:bookmarkEnd w:id="4"/>
          </w:p>
        </w:tc>
        <w:tc>
          <w:tcPr>
            <w:tcW w:w="8100" w:type="dxa"/>
            <w:tcBorders/>
          </w:tcPr>
          <w:p>
            <w:pPr>
              <w:pStyle w:val="Normal"/>
              <w:tabs>
                <w:tab w:val="clear" w:pos="720"/>
                <w:tab w:val="right" w:pos="8931" w:leader="none"/>
              </w:tabs>
              <w:snapToGrid w:val="false"/>
              <w:rPr/>
            </w:pPr>
            <w:r>
              <w:rPr/>
            </w:r>
          </w:p>
        </w:tc>
      </w:tr>
      <w:tr>
        <w:trPr/>
        <w:tc>
          <w:tcPr>
            <w:tcW w:w="1368" w:type="dxa"/>
            <w:tcBorders/>
          </w:tcPr>
          <w:p>
            <w:pPr>
              <w:pStyle w:val="Normal"/>
              <w:tabs>
                <w:tab w:val="clear" w:pos="720"/>
                <w:tab w:val="right" w:pos="8931" w:leader="none"/>
              </w:tabs>
              <w:rPr/>
            </w:pPr>
            <w:r>
              <w:rPr/>
              <w:t>From:</w:t>
            </w:r>
          </w:p>
        </w:tc>
        <w:tc>
          <w:tcPr>
            <w:tcW w:w="8100" w:type="dxa"/>
            <w:tcBorders/>
          </w:tcPr>
          <w:p>
            <w:pPr>
              <w:pStyle w:val="Normal"/>
              <w:tabs>
                <w:tab w:val="clear" w:pos="720"/>
                <w:tab w:val="right" w:pos="8931" w:leader="none"/>
              </w:tabs>
              <w:rPr/>
            </w:pPr>
            <w:bookmarkStart w:id="5" w:name="From"/>
            <w:bookmarkEnd w:id="5"/>
            <w:r>
              <w:rPr/>
              <w:t>John Berry</w:t>
            </w:r>
          </w:p>
        </w:tc>
      </w:tr>
      <w:tr>
        <w:trPr/>
        <w:tc>
          <w:tcPr>
            <w:tcW w:w="1368" w:type="dxa"/>
            <w:tcBorders/>
          </w:tcPr>
          <w:p>
            <w:pPr>
              <w:pStyle w:val="Normal"/>
              <w:tabs>
                <w:tab w:val="clear" w:pos="720"/>
                <w:tab w:val="right" w:pos="8931" w:leader="none"/>
              </w:tabs>
              <w:snapToGrid w:val="false"/>
              <w:rPr/>
            </w:pPr>
            <w:r>
              <w:rPr/>
            </w:r>
          </w:p>
        </w:tc>
        <w:tc>
          <w:tcPr>
            <w:tcW w:w="8100" w:type="dxa"/>
            <w:tcBorders/>
          </w:tcPr>
          <w:p>
            <w:pPr>
              <w:pStyle w:val="Normal"/>
              <w:tabs>
                <w:tab w:val="clear" w:pos="720"/>
                <w:tab w:val="right" w:pos="8931" w:leader="none"/>
              </w:tabs>
              <w:snapToGrid w:val="false"/>
              <w:rPr/>
            </w:pPr>
            <w:r>
              <w:rPr/>
            </w:r>
          </w:p>
        </w:tc>
      </w:tr>
      <w:tr>
        <w:trPr/>
        <w:tc>
          <w:tcPr>
            <w:tcW w:w="1368" w:type="dxa"/>
            <w:tcBorders/>
          </w:tcPr>
          <w:p>
            <w:pPr>
              <w:pStyle w:val="Normal"/>
              <w:tabs>
                <w:tab w:val="clear" w:pos="720"/>
                <w:tab w:val="right" w:pos="8931" w:leader="none"/>
              </w:tabs>
              <w:rPr/>
            </w:pPr>
            <w:r>
              <w:rPr/>
              <w:t>Date:</w:t>
            </w:r>
          </w:p>
        </w:tc>
        <w:tc>
          <w:tcPr>
            <w:tcW w:w="8100" w:type="dxa"/>
            <w:tcBorders/>
          </w:tcPr>
          <w:p>
            <w:pPr>
              <w:pStyle w:val="Normal"/>
              <w:tabs>
                <w:tab w:val="clear" w:pos="720"/>
                <w:tab w:val="right" w:pos="8931" w:leader="none"/>
              </w:tabs>
              <w:rPr/>
            </w:pPr>
            <w:bookmarkStart w:id="6" w:name="Date"/>
            <w:bookmarkEnd w:id="6"/>
            <w:r>
              <w:rPr/>
              <w:t>August 1, 2001</w:t>
            </w:r>
          </w:p>
        </w:tc>
      </w:tr>
      <w:tr>
        <w:trPr/>
        <w:tc>
          <w:tcPr>
            <w:tcW w:w="1368" w:type="dxa"/>
            <w:tcBorders/>
          </w:tcPr>
          <w:p>
            <w:pPr>
              <w:pStyle w:val="Normal"/>
              <w:tabs>
                <w:tab w:val="clear" w:pos="720"/>
                <w:tab w:val="right" w:pos="8931" w:leader="none"/>
              </w:tabs>
              <w:snapToGrid w:val="false"/>
              <w:rPr/>
            </w:pPr>
            <w:r>
              <w:rPr/>
            </w:r>
          </w:p>
        </w:tc>
        <w:tc>
          <w:tcPr>
            <w:tcW w:w="8100" w:type="dxa"/>
            <w:tcBorders/>
          </w:tcPr>
          <w:p>
            <w:pPr>
              <w:pStyle w:val="Normal"/>
              <w:tabs>
                <w:tab w:val="clear" w:pos="720"/>
                <w:tab w:val="left" w:pos="7660" w:leader="none"/>
                <w:tab w:val="right" w:pos="8931" w:leader="none"/>
              </w:tabs>
              <w:snapToGrid w:val="false"/>
              <w:rPr/>
            </w:pPr>
            <w:r>
              <w:rPr/>
            </w:r>
          </w:p>
        </w:tc>
      </w:tr>
      <w:tr>
        <w:trPr/>
        <w:tc>
          <w:tcPr>
            <w:tcW w:w="1368" w:type="dxa"/>
            <w:tcBorders/>
          </w:tcPr>
          <w:p>
            <w:pPr>
              <w:pStyle w:val="Normal"/>
              <w:tabs>
                <w:tab w:val="clear" w:pos="720"/>
                <w:tab w:val="right" w:pos="8931" w:leader="none"/>
              </w:tabs>
              <w:rPr/>
            </w:pPr>
            <w:r>
              <w:rPr/>
              <w:t>Subject:</w:t>
            </w:r>
          </w:p>
        </w:tc>
        <w:tc>
          <w:tcPr>
            <w:tcW w:w="8100" w:type="dxa"/>
            <w:tcBorders/>
          </w:tcPr>
          <w:p>
            <w:pPr>
              <w:pStyle w:val="Normal"/>
              <w:tabs>
                <w:tab w:val="clear" w:pos="720"/>
                <w:tab w:val="right" w:pos="8931" w:leader="none"/>
              </w:tabs>
              <w:rPr>
                <w:b/>
              </w:rPr>
            </w:pPr>
            <w:bookmarkStart w:id="7" w:name="Subject"/>
            <w:bookmarkEnd w:id="7"/>
            <w:r>
              <w:rPr>
                <w:b/>
              </w:rPr>
              <w:t>Draft 2001 ISDA Cross-Agreement Bridge</w:t>
            </w:r>
          </w:p>
        </w:tc>
      </w:tr>
    </w:tbl>
    <w:p>
      <w:pPr>
        <w:pStyle w:val="Normal"/>
        <w:pBdr>
          <w:bottom w:val="single" w:sz="6" w:space="1" w:color="000000"/>
        </w:pBdr>
        <w:tabs>
          <w:tab w:val="clear" w:pos="720"/>
          <w:tab w:val="right" w:pos="9360" w:leader="none"/>
        </w:tabs>
        <w:rPr>
          <w:sz w:val="16"/>
        </w:rPr>
      </w:pPr>
      <w:r>
        <w:rPr>
          <w:sz w:val="16"/>
        </w:rPr>
        <w:tab/>
      </w:r>
      <w:bookmarkStart w:id="8" w:name="DocRef"/>
      <w:bookmarkEnd w:id="8"/>
      <w:r>
        <w:rPr>
          <w:sz w:val="16"/>
        </w:rPr>
        <w:t>NY:22015.1</w:t>
      </w:r>
    </w:p>
    <w:p>
      <w:pPr>
        <w:pStyle w:val="Normal"/>
        <w:rPr>
          <w:sz w:val="16"/>
        </w:rPr>
      </w:pPr>
      <w:r>
        <w:rPr>
          <w:sz w:val="16"/>
        </w:rPr>
      </w:r>
      <w:bookmarkStart w:id="9" w:name="NoteBody"/>
      <w:bookmarkStart w:id="10" w:name="NoteBody"/>
      <w:bookmarkEnd w:id="10"/>
    </w:p>
    <w:p>
      <w:pPr>
        <w:pStyle w:val="Normal"/>
        <w:rPr/>
      </w:pPr>
      <w:r>
        <w:rPr/>
        <w:t>I set out below the text of a recently received comment.  It relates to the fact that the Bridge is drafted for use with underlying master agreements that provide for the payment of a cash amount (if any) upon the close-out of all outstanding transactions.  It is not drafted for use with underlying master agreements that provide for a physical delivery obligation upon close-out.</w:t>
      </w:r>
    </w:p>
    <w:p>
      <w:pPr>
        <w:pStyle w:val="Normal"/>
        <w:rPr/>
      </w:pPr>
      <w:r>
        <w:rPr/>
      </w:r>
    </w:p>
    <w:p>
      <w:pPr>
        <w:pStyle w:val="Normal"/>
        <w:ind w:start="720" w:end="0"/>
        <w:rPr>
          <w:lang w:val="en-GB" w:eastAsia="en-US"/>
        </w:rPr>
      </w:pPr>
      <w:r>
        <w:rPr>
          <w:lang w:val="en-GB" w:eastAsia="en-US"/>
        </w:rPr>
        <w:t>"In Amendment to Definition of Unpaid Amounts, Section 2(b):</w:t>
      </w:r>
    </w:p>
    <w:p>
      <w:pPr>
        <w:pStyle w:val="Normal"/>
        <w:ind w:start="720" w:end="0"/>
        <w:rPr>
          <w:lang w:val="en-GB" w:eastAsia="en-US"/>
        </w:rPr>
      </w:pPr>
      <w:r>
        <w:rPr>
          <w:lang w:val="en-GB" w:eastAsia="en-US"/>
        </w:rPr>
      </w:r>
    </w:p>
    <w:p>
      <w:pPr>
        <w:pStyle w:val="Normal"/>
        <w:ind w:start="720" w:end="0"/>
        <w:rPr>
          <w:lang w:val="en-GB" w:eastAsia="en-US"/>
        </w:rPr>
      </w:pPr>
      <w:r>
        <w:rPr>
          <w:lang w:val="en-GB" w:eastAsia="en-US"/>
        </w:rPr>
        <w:t>The proposed change appears not to account for obligations to be settled by delivery to the relevant party which are not reduced to payment obligations under the settlement procedure of the agreement under which they arise.  There is nothing in the proposed change analogous to clause (b) of the existing definition.  I suggest something to the following effect be added next following the proposed new clause (c):  ", and (d) in respect of each Terminated Transaction consisting of a Bridged Agreement, for each obligation under such Bridged Agreement which was (or would have been but for a provision of such Bridged Agreement analogous to Section 2(a)(iii)) required to be settled by delivery to such party on or prior to such Early Termination Date and which has not been so settled as at such Early Termination Date and which has not been otherwise settled or replaced by a payment obligation under the terms of such Bridged Agreement, an amount equal to the fair market value of that which was (or would have been) required to be delivered as of the originally scheduled date for delivery".  If that suggestion is implemented, as a conforming change, the word "and" next preceding new clause (c) should be changed to a comma."</w:t>
      </w:r>
    </w:p>
    <w:p>
      <w:pPr>
        <w:pStyle w:val="Normal"/>
        <w:rPr>
          <w:lang w:val="en-GB" w:eastAsia="en-US"/>
        </w:rPr>
      </w:pPr>
      <w:r>
        <w:rPr>
          <w:lang w:val="en-GB" w:eastAsia="en-US"/>
        </w:rPr>
      </w:r>
    </w:p>
    <w:p>
      <w:pPr>
        <w:pStyle w:val="Normal"/>
        <w:rPr/>
      </w:pPr>
      <w:r>
        <w:rPr/>
        <w:t>Including this type of language, while it would not hurt, would lengthen the provisions of the Bridge.  In any case, are there any agreements that parties might want to include in the Bridge that provide for a physical delivery obligation upon close-out?  Members of ISDA's North American Energy and Developing Products Committee have advised me that all modern master agreements in the energy markets provide for the payment of a cash amount upon close-out.</w:t>
      </w:r>
    </w:p>
    <w:p>
      <w:pPr>
        <w:pStyle w:val="Normal"/>
        <w:rPr/>
      </w:pPr>
      <w:r>
        <w:rPr/>
      </w:r>
    </w:p>
    <w:p>
      <w:pPr>
        <w:pStyle w:val="Normal"/>
        <w:rPr>
          <w:i/>
          <w:i/>
        </w:rPr>
      </w:pPr>
      <w:r>
        <w:rPr/>
        <w:t xml:space="preserve">Accordingly, we are not proposing to take account of this comment.  Please let me know at </w:t>
      </w:r>
      <w:hyperlink r:id="rId2">
        <w:r>
          <w:rPr>
            <w:rStyle w:val="Hyperlink"/>
          </w:rPr>
          <w:t>john.berry@allenovery.com</w:t>
        </w:r>
      </w:hyperlink>
      <w:r>
        <w:rPr/>
        <w:t xml:space="preserve"> if you think we should.</w:t>
      </w:r>
    </w:p>
    <w:p>
      <w:pPr>
        <w:pStyle w:val="Normal"/>
        <w:rPr>
          <w:i/>
          <w:i/>
        </w:rPr>
      </w:pPr>
      <w:r>
        <w:rPr>
          <w:i/>
        </w:rPr>
      </w:r>
    </w:p>
    <w:p>
      <w:pPr>
        <w:pStyle w:val="BodyText"/>
        <w:spacing w:lineRule="auto" w:line="240" w:before="0" w:after="0"/>
        <w:rPr>
          <w:rFonts w:ascii="Times New Roman" w:hAnsi="Times New Roman" w:cs="Times New Roman"/>
          <w:lang w:eastAsia="en-US"/>
        </w:rPr>
      </w:pPr>
      <w:r>
        <w:rPr>
          <w:rFonts w:cs="Times New Roman" w:ascii="Times New Roman" w:hAnsi="Times New Roman"/>
        </w:rPr>
        <w:t xml:space="preserve">I attach, for your convenience, a (very slightly) revised draft of the Bridge.  </w:t>
      </w:r>
    </w:p>
    <w:p>
      <w:pPr>
        <w:pStyle w:val="Normal"/>
        <w:rPr>
          <w:rFonts w:ascii="Times New Roman" w:hAnsi="Times New Roman" w:cs="Times New Roman"/>
          <w:lang w:eastAsia="en-US"/>
        </w:rPr>
      </w:pPr>
      <w:r>
        <w:rPr>
          <w:rFonts w:cs="Times New Roman"/>
          <w:lang w:eastAsia="en-US"/>
        </w:rPr>
      </w:r>
    </w:p>
    <w:sectPr>
      <w:headerReference w:type="default" r:id="rId3"/>
      <w:headerReference w:type="first" r:id="rId4"/>
      <w:type w:val="nextPage"/>
      <w:pgSz w:w="12240" w:h="15840"/>
      <w:pgMar w:left="1440" w:right="1440" w:gutter="0" w:header="720" w:top="180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pprplGoth BT">
    <w:charset w:val="00" w:characterSet="windows-1252"/>
    <w:family w:val="swiss"/>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080" w:leader="none"/>
        <w:tab w:val="right" w:pos="8910" w:leader="none"/>
      </w:tabs>
      <w:rPr>
        <w:rStyle w:val="PageNumber"/>
      </w:rPr>
    </w:pPr>
    <w:r>
      <w:rPr/>
      <w:t>Subject:</w:t>
      <w:tab/>
      <w:t>ISDA Cross-Agreement Bridge</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Normal"/>
      <w:tabs>
        <w:tab w:val="clear" w:pos="720"/>
        <w:tab w:val="left" w:pos="1080" w:leader="none"/>
        <w:tab w:val="right" w:pos="8910" w:leader="none"/>
      </w:tabs>
      <w:rPr/>
    </w:pPr>
    <w:r>
      <w:rPr>
        <w:rStyle w:val="PageNumber"/>
      </w:rPr>
      <w:t>From:</w:t>
      <w:tab/>
      <w:t>John Berry</w:t>
      <w:tab/>
    </w:r>
  </w:p>
  <w:p>
    <w:pPr>
      <w:pStyle w:val="Normal"/>
      <w:tabs>
        <w:tab w:val="clear" w:pos="720"/>
        <w:tab w:val="left" w:pos="1080" w:leader="none"/>
        <w:tab w:val="right" w:pos="8910" w:leader="none"/>
      </w:tabs>
      <w:rPr>
        <w:rStyle w:val="PageNumber"/>
      </w:rPr>
    </w:pPr>
    <w:r>
      <w:rPr/>
    </w:r>
  </w:p>
  <w:p>
    <w:pPr>
      <w:pStyle w:val="Normal"/>
      <w:tabs>
        <w:tab w:val="clear" w:pos="720"/>
        <w:tab w:val="left" w:pos="1080" w:leader="none"/>
        <w:tab w:val="right" w:pos="891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cPr>
        <w:p>
          <w:pPr>
            <w:pStyle w:val="Header"/>
            <w:jc w:val="center"/>
            <w:rPr>
              <w:rFonts w:ascii="CopprplGoth BT" w:hAnsi="CopprplGoth BT" w:cs="CopprplGoth BT"/>
              <w:sz w:val="42"/>
            </w:rPr>
          </w:pPr>
          <w:bookmarkStart w:id="11" w:name="bmkHeader_1"/>
          <w:bookmarkEnd w:id="11"/>
          <w:r>
            <w:rPr>
              <w:rFonts w:cs="CopprplGoth BT" w:ascii="CopprplGoth BT" w:hAnsi="CopprplGoth BT"/>
              <w:sz w:val="42"/>
            </w:rPr>
            <w:t>ALLEN &amp; OVERY</w:t>
          </w:r>
        </w:p>
        <w:p>
          <w:pPr>
            <w:pStyle w:val="Header"/>
            <w:jc w:val="center"/>
            <w:rPr>
              <w:rFonts w:ascii="CopprplGoth BT" w:hAnsi="CopprplGoth BT" w:cs="CopprplGoth BT"/>
              <w:sz w:val="42"/>
            </w:rPr>
          </w:pPr>
          <w:r>
            <w:rPr>
              <w:rFonts w:cs="CopprplGoth BT" w:ascii="CopprplGoth BT" w:hAnsi="CopprplGoth BT"/>
              <w:sz w:val="42"/>
            </w:rPr>
          </w:r>
        </w:p>
      </w:tc>
    </w:tr>
    <w:tr>
      <w:trPr/>
      <w:tc>
        <w:tcPr>
          <w:tcW w:w="9576" w:type="dxa"/>
          <w:tcBorders/>
        </w:tcPr>
        <w:p>
          <w:pPr>
            <w:pStyle w:val="Header"/>
            <w:snapToGrid w:val="false"/>
            <w:jc w:val="center"/>
            <w:rPr/>
          </w:pPr>
          <w:r>
            <w:rPr/>
          </w:r>
          <w:bookmarkStart w:id="12" w:name="bmkHeader_2"/>
          <w:bookmarkStart w:id="13" w:name="bmkHeader_2"/>
          <w:bookmarkEnd w:id="13"/>
        </w:p>
      </w:tc>
    </w:tr>
    <w:tr>
      <w:trPr>
        <w:trHeight w:val="80" w:hRule="atLeast"/>
      </w:trPr>
      <w:tc>
        <w:tcPr>
          <w:tcW w:w="9576" w:type="dxa"/>
          <w:tcBorders/>
        </w:tcPr>
        <w:p>
          <w:pPr>
            <w:pStyle w:val="Header"/>
            <w:jc w:val="center"/>
            <w:rPr>
              <w:b/>
              <w:sz w:val="24"/>
            </w:rPr>
          </w:pPr>
          <w:bookmarkStart w:id="14" w:name="bmkHeader_3"/>
          <w:bookmarkEnd w:id="14"/>
          <w:r>
            <w:rPr>
              <w:b/>
              <w:sz w:val="24"/>
            </w:rPr>
            <w:t>MEMORANDUM</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ancel" w:val="0"/>
    <w:docVar w:name="DocRef" w:val="NY:2201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start"/>
      <w:outlineLvl w:val="3"/>
    </w:pPr>
    <w:rPr>
      <w:b/>
    </w:rPr>
  </w:style>
  <w:style w:type="paragraph" w:styleId="Heading5">
    <w:name w:val="heading 5"/>
    <w:basedOn w:val="Normal"/>
    <w:next w:val="Normal"/>
    <w:qFormat/>
    <w:pPr>
      <w:keepNext w:val="true"/>
      <w:numPr>
        <w:ilvl w:val="4"/>
        <w:numId w:val="1"/>
      </w:numPr>
      <w:outlineLvl w:val="4"/>
    </w:pPr>
    <w:rPr>
      <w:b/>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opprplGoth BT" w:hAnsi="CopprplGoth BT" w:cs="CopprplGoth BT"/>
      <w:color w:val="000000"/>
      <w:sz w:val="42"/>
    </w:rPr>
  </w:style>
  <w:style w:type="paragraph" w:styleId="BodyText">
    <w:name w:val="Body Text"/>
    <w:basedOn w:val="Normal"/>
    <w:pPr>
      <w:spacing w:lineRule="auto" w:line="288" w:before="0" w:after="200"/>
    </w:pPr>
    <w:rPr>
      <w:rFonts w:ascii="CG Times" w:hAnsi="CG Times" w:cs="CG Time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jc w:val="start"/>
    </w:pPr>
    <w:rPr/>
  </w:style>
  <w:style w:type="paragraph" w:styleId="FootnoteText">
    <w:name w:val="footnote text"/>
    <w:basedOn w:val="Normal"/>
    <w:pPr>
      <w:jc w:val="start"/>
    </w:pPr>
    <w:rPr>
      <w:sz w:val="20"/>
    </w:rPr>
  </w:style>
  <w:style w:type="paragraph" w:styleId="BodyText3">
    <w:name w:val="Body Text 3"/>
    <w:basedOn w:val="Normal"/>
    <w:qFormat/>
    <w:pPr>
      <w:ind w:hanging="0" w:start="0" w:end="-4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n.berry@allenovery.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2001-07-27T16:50:00Z</dcterms:created>
  <dc:creator>Allen &amp; Overy</dc:creator>
  <dc:description/>
  <dc:language>en-CA</dc:language>
  <cp:lastModifiedBy>Allen &amp; Overy</cp:lastModifiedBy>
  <cp:lastPrinted>2001-07-27T14:57:00Z</cp:lastPrinted>
  <dcterms:modified xsi:type="dcterms:W3CDTF">2001-08-01T12:46:00Z</dcterms:modified>
  <cp:revision>6</cp:revision>
  <dc:subject/>
  <dc:title>ALLEN &amp; OVERY</dc:title>
</cp:coreProperties>
</file>