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EPSA Presentation for GISB Meeting on Strawman II for an EISB</w:t>
      </w:r>
    </w:p>
    <w:p>
      <w:pPr>
        <w:pStyle w:val="Normal"/>
        <w:rPr/>
      </w:pPr>
      <w:r>
        <w:rPr/>
        <w:t xml:space="preserve"> </w:t>
      </w:r>
    </w:p>
    <w:p>
      <w:pPr>
        <w:pStyle w:val="Normal"/>
        <w:rPr/>
      </w:pPr>
      <w:r>
        <w:rPr/>
        <w:t>Support formation of EISB with a quadrant for Electric Wholesale Standards</w:t>
      </w:r>
    </w:p>
    <w:p>
      <w:pPr>
        <w:pStyle w:val="Normal"/>
        <w:rPr/>
      </w:pPr>
      <w:r>
        <w:rPr/>
        <w:t>Propose a model for balanced segment representation in EWS Quadrant</w:t>
      </w:r>
    </w:p>
    <w:p>
      <w:pPr>
        <w:pStyle w:val="Normal"/>
        <w:rPr/>
      </w:pPr>
      <w:r>
        <w:rPr/>
      </w:r>
    </w:p>
    <w:p>
      <w:pPr>
        <w:pStyle w:val="Normal"/>
        <w:rPr/>
      </w:pPr>
      <w:r>
        <w:rPr/>
        <w:t xml:space="preserve">EPSA members propose the possible breakdown on a </w:t>
      </w:r>
      <w:r>
        <w:rPr>
          <w:i/>
          <w:iCs/>
        </w:rPr>
        <w:t>functional</w:t>
      </w:r>
      <w:r>
        <w:rPr/>
        <w:t xml:space="preserve"> approach:</w:t>
      </w:r>
    </w:p>
    <w:p>
      <w:pPr>
        <w:pStyle w:val="Normal"/>
        <w:numPr>
          <w:ilvl w:val="0"/>
          <w:numId w:val="1"/>
        </w:numPr>
        <w:rPr/>
      </w:pPr>
      <w:r>
        <w:rPr/>
        <w:t>generators</w:t>
      </w:r>
    </w:p>
    <w:p>
      <w:pPr>
        <w:pStyle w:val="Normal"/>
        <w:numPr>
          <w:ilvl w:val="0"/>
          <w:numId w:val="1"/>
        </w:numPr>
        <w:rPr/>
      </w:pPr>
      <w:r>
        <w:rPr/>
        <w:t>transmission service providers</w:t>
      </w:r>
    </w:p>
    <w:p>
      <w:pPr>
        <w:pStyle w:val="Normal"/>
        <w:numPr>
          <w:ilvl w:val="0"/>
          <w:numId w:val="1"/>
        </w:numPr>
        <w:rPr/>
      </w:pPr>
      <w:r>
        <w:rPr/>
        <w:t>purchasing selling entities (marketers)</w:t>
      </w:r>
    </w:p>
    <w:p>
      <w:pPr>
        <w:pStyle w:val="Normal"/>
        <w:numPr>
          <w:ilvl w:val="0"/>
          <w:numId w:val="1"/>
        </w:numPr>
        <w:rPr/>
      </w:pPr>
      <w:r>
        <w:rPr/>
        <w:t>end-use customers</w:t>
      </w:r>
    </w:p>
    <w:p>
      <w:pPr>
        <w:pStyle w:val="Normal"/>
        <w:numPr>
          <w:ilvl w:val="0"/>
          <w:numId w:val="1"/>
        </w:numPr>
        <w:rPr/>
      </w:pPr>
      <w:r>
        <w:rPr/>
        <w:t>system service providers?????</w:t>
      </w:r>
    </w:p>
    <w:p>
      <w:pPr>
        <w:pStyle w:val="Normal"/>
        <w:ind w:start="360" w:end="0"/>
        <w:rPr/>
      </w:pPr>
      <w:r>
        <w:rPr/>
      </w:r>
    </w:p>
    <w:p>
      <w:pPr>
        <w:pStyle w:val="Normal"/>
        <w:rPr/>
      </w:pPr>
      <w:r>
        <w:rPr/>
        <w:t>No more than 5 sectors – limit number of votes to prevent dilution of votes</w:t>
      </w:r>
    </w:p>
    <w:p>
      <w:pPr>
        <w:pStyle w:val="Normal"/>
        <w:rPr/>
      </w:pPr>
      <w:r>
        <w:rPr/>
        <w:t xml:space="preserve">Every industry player that has a stake in the reliability/commercial issues should fit into one of these sectors.  </w:t>
      </w:r>
    </w:p>
    <w:p>
      <w:pPr>
        <w:pStyle w:val="Normal"/>
        <w:rPr/>
      </w:pPr>
      <w:r>
        <w:rPr/>
        <w:t>An entity may serve more than one of these functions, however, the likelihood of it obtaining enough voting seats to dominate voting outcomes must be checked through an open and participatory selection process</w:t>
      </w:r>
    </w:p>
    <w:p>
      <w:pPr>
        <w:pStyle w:val="Normal"/>
        <w:rPr/>
      </w:pPr>
      <w:r>
        <w:rPr/>
      </w:r>
    </w:p>
    <w:p>
      <w:pPr>
        <w:pStyle w:val="Normal"/>
        <w:rPr/>
      </w:pPr>
      <w:r>
        <w:rPr/>
      </w:r>
    </w:p>
    <w:p>
      <w:pPr>
        <w:pStyle w:val="Normal"/>
        <w:rPr/>
      </w:pPr>
      <w:r>
        <w:rPr/>
        <w:t>Sectors must be distinct and function-based in relationship to the electric industry marketplace  (e.g. – a sector for municipalities is not relevant since these are not distinct players within the functions that constitute the electric industry marketplace, such entities may own transmission, own generation, serve retail load, and even trade wholesale energy, or a sector for non-jurisdictional vertically integrated load serving entities is not distinct in its functions in the marketplace)</w:t>
      </w:r>
    </w:p>
    <w:p>
      <w:pPr>
        <w:pStyle w:val="Normal"/>
        <w:rPr/>
      </w:pPr>
      <w:r>
        <w:rPr/>
      </w:r>
    </w:p>
    <w:p>
      <w:pPr>
        <w:pStyle w:val="Normal"/>
        <w:rPr/>
      </w:pPr>
      <w:r>
        <w:rPr/>
        <w:t>Sectors must be complementary to the standards and issues of relevance to EISB’s charge and scope (e.g. – there should not be a distinct sector for entities that provide wood poles for distribution facilities, or a sector for transmission owner is duplicates the sector for transmission provider since both types are impacted in the same fashion by these standards, although a transmission owner may have cost recovery concerns whereas a transmission provider may only be delegated its capabilities by the transmission owner, such as RTOs, those cost recovery mechanisms of TO’s are not under the EISB charter)</w:t>
      </w:r>
    </w:p>
    <w:p>
      <w:pPr>
        <w:pStyle w:val="Normal"/>
        <w:rPr/>
      </w:pPr>
      <w:r>
        <w:rPr/>
      </w:r>
    </w:p>
    <w:p>
      <w:pPr>
        <w:pStyle w:val="Normal"/>
        <w:rPr/>
      </w:pPr>
      <w:r>
        <w:rPr/>
      </w:r>
    </w:p>
    <w:p>
      <w:pPr>
        <w:pStyle w:val="Normal"/>
        <w:rPr/>
      </w:pPr>
      <w:r>
        <w:rPr/>
        <w:t>Identify concerns over the establishment of 2 overlapping organizations</w:t>
      </w:r>
    </w:p>
    <w:p>
      <w:pPr>
        <w:pStyle w:val="Normal"/>
        <w:rPr/>
      </w:pPr>
      <w:r>
        <w:rPr/>
        <w:t>NERC vs. RTOs  - There should be no duplication or conflict between standards (reliability rules and commercial/market interface rules do not overlap)</w:t>
      </w:r>
    </w:p>
    <w:p>
      <w:pPr>
        <w:pStyle w:val="Normal"/>
        <w:rPr/>
      </w:pPr>
      <w:r>
        <w:rPr/>
      </w:r>
    </w:p>
    <w:p>
      <w:pPr>
        <w:pStyle w:val="Normal"/>
        <w:rPr/>
      </w:pPr>
      <w:r>
        <w:rPr/>
        <w:t>Reliability rules may be established by an organization that is structured within the EISB organization</w:t>
      </w:r>
    </w:p>
    <w:p>
      <w:pPr>
        <w:pStyle w:val="Normal"/>
        <w:rPr/>
      </w:pPr>
      <w:r>
        <w:rPr/>
      </w:r>
    </w:p>
    <w:p>
      <w:pPr>
        <w:pStyle w:val="BodyText"/>
        <w:rPr/>
      </w:pPr>
      <w:r>
        <w:rPr/>
        <w:t>GISB/EISB appears to provide for the following/which are key ingredients for a Standards Setting Organization</w:t>
      </w:r>
    </w:p>
    <w:p>
      <w:pPr>
        <w:pStyle w:val="Normal"/>
        <w:rPr/>
      </w:pPr>
      <w:r>
        <w:rPr/>
      </w:r>
    </w:p>
    <w:p>
      <w:pPr>
        <w:pStyle w:val="Normal"/>
        <w:rPr/>
      </w:pPr>
      <w:r>
        <w:rPr/>
        <w:t xml:space="preserve">No sector dominates the process – no entity dominates a quadrant or sector – an entity that has diverse business interests in the electric industry cannot control the voting outcome </w:t>
      </w:r>
    </w:p>
    <w:p>
      <w:pPr>
        <w:pStyle w:val="Normal"/>
        <w:rPr/>
      </w:pPr>
      <w:r>
        <w:rPr/>
      </w:r>
    </w:p>
    <w:p>
      <w:pPr>
        <w:pStyle w:val="Normal"/>
        <w:rPr/>
      </w:pPr>
      <w:r>
        <w:rPr/>
        <w:t xml:space="preserve">All rules/standards must ultimately be approved or adopted by a governmental agency that has authority over both commercial and reliability aspects </w:t>
      </w:r>
    </w:p>
    <w:p>
      <w:pPr>
        <w:pStyle w:val="Normal"/>
        <w:rPr/>
      </w:pPr>
      <w:r>
        <w:rPr/>
      </w:r>
    </w:p>
    <w:p>
      <w:pPr>
        <w:pStyle w:val="Normal"/>
        <w:tabs>
          <w:tab w:val="clear" w:pos="720"/>
          <w:tab w:val="left" w:pos="1980" w:leader="none"/>
        </w:tabs>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start"/>
      <w:pPr>
        <w:tabs>
          <w:tab w:val="num" w:pos="720"/>
        </w:tabs>
        <w:ind w:start="720" w:hanging="360"/>
      </w:pPr>
      <w:rPr>
        <w:rFonts w:ascii="Times New Roman" w:hAnsi="Times New Roman" w:cs="Times New Roman"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Times New Roman" w:hAnsi="Times New Roman"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u w:val="single"/>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2001-08-09T16:13:00Z</dcterms:created>
  <dc:creator>cyeung</dc:creator>
  <dc:description/>
  <dc:language>en-CA</dc:language>
  <cp:lastModifiedBy>cyeung</cp:lastModifiedBy>
  <dcterms:modified xsi:type="dcterms:W3CDTF">2001-08-09T17:26:00Z</dcterms:modified>
  <cp:revision>18</cp:revision>
  <dc:subject/>
  <dc:title>EPSA Presentation for GISB Meeting on Strawman II for an EOSB</dc:title>
</cp:coreProperties>
</file>