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EPSA Presentation for GISB Meeting on Strawman II for an EISB</w:t>
      </w:r>
    </w:p>
    <w:p>
      <w:pPr>
        <w:pStyle w:val="Normal"/>
        <w:rPr/>
      </w:pPr>
      <w:r>
        <w:rPr/>
      </w:r>
    </w:p>
    <w:p>
      <w:pPr>
        <w:pStyle w:val="Normal"/>
        <w:rPr>
          <w:u w:val="single"/>
        </w:rPr>
      </w:pPr>
      <w:r>
        <w:rPr>
          <w:u w:val="single"/>
        </w:rPr>
        <w:t>2. Electric Industry Sees Value in EISB</w:t>
      </w:r>
    </w:p>
    <w:p>
      <w:pPr>
        <w:pStyle w:val="Normal"/>
        <w:rPr>
          <w:u w:val="single"/>
        </w:rPr>
      </w:pPr>
      <w:r>
        <w:rPr>
          <w:u w:val="single"/>
        </w:rPr>
      </w:r>
    </w:p>
    <w:p>
      <w:pPr>
        <w:pStyle w:val="Normal"/>
        <w:rPr/>
      </w:pPr>
      <w:r>
        <w:rPr/>
        <w:t>EPSA members can support formation of EISB with a quadrant for Wholesale Electric Standards.  But there are significant issues that need to be addressed before any commitment by EPSA members can be made.  The complexities of the wholesale electric industry between reliability and commercial interests are not easily resolved.  GISB offers a proven record of balance and participation - but NERC offers a proven record of ensuring grid reliability.</w:t>
      </w:r>
    </w:p>
    <w:p>
      <w:pPr>
        <w:pStyle w:val="Normal"/>
        <w:rPr/>
      </w:pPr>
      <w:r>
        <w:rPr/>
      </w:r>
    </w:p>
    <w:p>
      <w:pPr>
        <w:pStyle w:val="BodyText"/>
        <w:rPr>
          <w:u w:val="none"/>
        </w:rPr>
      </w:pPr>
      <w:r>
        <w:rPr>
          <w:u w:val="none"/>
        </w:rPr>
        <w:t xml:space="preserve">GISB/EISB appears to provide for the following/which are key ingredients for a Standards Setting Organization: </w:t>
      </w:r>
    </w:p>
    <w:p>
      <w:pPr>
        <w:pStyle w:val="Normal"/>
        <w:rPr/>
      </w:pPr>
      <w:r>
        <w:rPr/>
      </w:r>
    </w:p>
    <w:p>
      <w:pPr>
        <w:pStyle w:val="Normal"/>
        <w:numPr>
          <w:ilvl w:val="0"/>
          <w:numId w:val="2"/>
        </w:numPr>
        <w:rPr/>
      </w:pPr>
      <w:r>
        <w:rPr/>
        <w:t xml:space="preserve">No sector dominates the process – no entity dominates a quadrant or sector – an entity that has diverse business interests in the electric industry cannot control the voting outcome </w:t>
      </w:r>
    </w:p>
    <w:p>
      <w:pPr>
        <w:pStyle w:val="Normal"/>
        <w:rPr/>
      </w:pPr>
      <w:r>
        <w:rPr/>
      </w:r>
    </w:p>
    <w:p>
      <w:pPr>
        <w:pStyle w:val="Normal"/>
        <w:numPr>
          <w:ilvl w:val="0"/>
          <w:numId w:val="2"/>
        </w:numPr>
        <w:rPr/>
      </w:pPr>
      <w:r>
        <w:rPr/>
        <w:t>Rules/standards should ultimately be approved or adopted by a governmental agency that has authority over both commercial and reliability aspects of the wholesale electric industry.</w:t>
      </w:r>
    </w:p>
    <w:p>
      <w:pPr>
        <w:pStyle w:val="Normal"/>
        <w:rPr/>
      </w:pPr>
      <w:r>
        <w:rPr/>
      </w:r>
    </w:p>
    <w:p>
      <w:pPr>
        <w:pStyle w:val="Normal"/>
        <w:numPr>
          <w:ilvl w:val="0"/>
          <w:numId w:val="2"/>
        </w:numPr>
        <w:rPr/>
      </w:pPr>
      <w:r>
        <w:rPr/>
        <w:t xml:space="preserve">The standards setting organization for reliability standards have limited compliance authority.   As in the GISB, all standards produced by the GISB process are voluntary – this should be the same as for the electric side.  However, the standards must be subject to adoption by FERC or the appropriate jurisdictional entity to ensure compliance to the standards.  FERC should not defer any authority for reliability to a standards setting organization.  </w:t>
      </w:r>
    </w:p>
    <w:p>
      <w:pPr>
        <w:pStyle w:val="Normal"/>
        <w:autoSpaceDE w:val="false"/>
        <w:rPr>
          <w:color w:val="0000FF"/>
        </w:rPr>
      </w:pPr>
      <w:r>
        <w:rPr>
          <w:color w:val="0000FF"/>
        </w:rPr>
      </w:r>
    </w:p>
    <w:p>
      <w:pPr>
        <w:pStyle w:val="Normal"/>
        <w:autoSpaceDE w:val="false"/>
        <w:rPr/>
      </w:pPr>
      <w:r>
        <w:rPr/>
        <w:t xml:space="preserve">It is the very nature of knowing FERC has final authority that makes the consensus building process work - not the threat of the Standard Development Organization having compliance authority over its members as NERC/NAERO proposes.  In GISB, the members know that if they do not produce a standard that all its members and FERC can live with - FERC will not adopt it, nor can FERC amend it - and since no enforcement mechanism will be behind the mis-guided standard (remember it is 100% voluntary), it becomes a worthless exercise.  This is a powerful consensus building incentive.   </w:t>
      </w:r>
    </w:p>
    <w:p>
      <w:pPr>
        <w:pStyle w:val="Normal"/>
        <w:autoSpaceDE w:val="false"/>
        <w:rPr/>
      </w:pPr>
      <w:r>
        <w:rPr/>
      </w:r>
    </w:p>
    <w:p>
      <w:pPr>
        <w:pStyle w:val="BodyText2"/>
        <w:rPr>
          <w:color w:val="auto"/>
        </w:rPr>
      </w:pPr>
      <w:r>
        <w:rPr>
          <w:color w:val="auto"/>
        </w:rPr>
        <w:t>On the other hand, NERC's approach of a standards organization with enforcement power sets the stage for power struggles between sectors and knocks down the consensus-building attitude the GISB process encourages.   Compliance and penalties are not assigned or targeted to every member/sector.  Certain parties are impacted by certain standards - and in different ways. For example - a congestion management standard will affect a control area (historically has been a operated by vertically integrated utilities) very differently than it would a power marketer.  The penalties may not apply at all to the marketers who want to protect themselves by making the congestion management penalties as harsh as possible and vice versa for the control areas.  If the SDO doles out compliance without FERC approval - then the standards will become a battleground over compliance and penalties. The point is the enforcement and penalty debate will drive sector arguments and will cloud the real task of developing an equitable congestion management standard.</w:t>
      </w:r>
    </w:p>
    <w:p>
      <w:pPr>
        <w:pStyle w:val="Normal"/>
        <w:tabs>
          <w:tab w:val="clear" w:pos="720"/>
          <w:tab w:val="left" w:pos="1980" w:leader="none"/>
        </w:tabs>
        <w:rPr/>
      </w:pPr>
      <w:r>
        <w:rPr/>
        <w:t xml:space="preserve">. </w:t>
      </w:r>
    </w:p>
    <w:p>
      <w:pPr>
        <w:pStyle w:val="Normal"/>
        <w:tabs>
          <w:tab w:val="clear" w:pos="720"/>
          <w:tab w:val="left" w:pos="1980" w:leader="none"/>
        </w:tabs>
        <w:rPr>
          <w:u w:val="single"/>
        </w:rPr>
      </w:pPr>
      <w:r>
        <w:rPr>
          <w:u w:val="single"/>
        </w:rPr>
        <w:t xml:space="preserve">3. GISB Strawman II, 2/19/01, Framework, Paragraph 2 </w:t>
      </w:r>
    </w:p>
    <w:p>
      <w:pPr>
        <w:pStyle w:val="Normal"/>
        <w:tabs>
          <w:tab w:val="clear" w:pos="720"/>
          <w:tab w:val="left" w:pos="1980" w:leader="none"/>
        </w:tabs>
        <w:rPr>
          <w:u w:val="single"/>
        </w:rPr>
      </w:pPr>
      <w:r>
        <w:rPr>
          <w:u w:val="single"/>
        </w:rPr>
      </w:r>
    </w:p>
    <w:p>
      <w:pPr>
        <w:pStyle w:val="Normal"/>
        <w:tabs>
          <w:tab w:val="clear" w:pos="720"/>
          <w:tab w:val="left" w:pos="1980" w:leader="none"/>
        </w:tabs>
        <w:rPr/>
      </w:pPr>
      <w:r>
        <w:rPr/>
        <w:t>“</w:t>
      </w:r>
      <w:r>
        <w:rPr/>
        <w:t>The activities of the new Organization would not extend to the development of standards for physical safety, physical reliability, facilities construction, equipment manufacture or the operation of natural gas or electrical equipment, such as those established and maintained by the AGA or NERC.”</w:t>
      </w:r>
    </w:p>
    <w:p>
      <w:pPr>
        <w:pStyle w:val="Normal"/>
        <w:tabs>
          <w:tab w:val="clear" w:pos="720"/>
          <w:tab w:val="left" w:pos="1980" w:leader="none"/>
        </w:tabs>
        <w:rPr/>
      </w:pPr>
      <w:r>
        <w:rPr/>
      </w:r>
    </w:p>
    <w:p>
      <w:pPr>
        <w:pStyle w:val="Normal"/>
        <w:rPr>
          <w:u w:val="single"/>
        </w:rPr>
      </w:pPr>
      <w:r>
        <w:rPr>
          <w:u w:val="single"/>
        </w:rPr>
        <w:t>4. NERC</w:t>
      </w:r>
    </w:p>
    <w:p>
      <w:pPr>
        <w:pStyle w:val="Normal"/>
        <w:rPr>
          <w:u w:val="single"/>
        </w:rPr>
      </w:pPr>
      <w:r>
        <w:rPr>
          <w:u w:val="single"/>
        </w:rPr>
      </w:r>
    </w:p>
    <w:p>
      <w:pPr>
        <w:pStyle w:val="Normal"/>
        <w:rPr/>
      </w:pPr>
      <w:r>
        <w:rPr/>
        <w:t>It must be clear that the NERC standards for physical reliability (operating standards), facilities construction (planning standards), operation of electrical equipment (operating standards) today, extend into what EPSA members and many other NERC participants, consider “market interface” or the rules which the commercial sectors must abide by in order to facilitate the transacting and trading of electricity.  The inherent danger of the statement offered in the GISB Strawman II is that it infers that such NERC standards are not of consequence and concern to the marketplace.  It is exactly this inextricable tie between the reliability requirements and the commercial needs in the electric industry that has catalyzed the need for an open, and participatory process to develop electric standards.</w:t>
      </w:r>
    </w:p>
    <w:p>
      <w:pPr>
        <w:pStyle w:val="Normal"/>
        <w:rPr/>
      </w:pPr>
      <w:r>
        <w:rPr/>
      </w:r>
    </w:p>
    <w:p>
      <w:pPr>
        <w:pStyle w:val="Normal"/>
        <w:rPr>
          <w:u w:val="single"/>
        </w:rPr>
      </w:pPr>
      <w:r>
        <w:rPr>
          <w:u w:val="single"/>
        </w:rPr>
        <w:t>5. NERC/NAERO does the “WHAT”</w:t>
      </w:r>
    </w:p>
    <w:p>
      <w:pPr>
        <w:pStyle w:val="Normal"/>
        <w:rPr>
          <w:u w:val="single"/>
        </w:rPr>
      </w:pPr>
      <w:r>
        <w:rPr>
          <w:u w:val="single"/>
        </w:rPr>
      </w:r>
    </w:p>
    <w:p>
      <w:pPr>
        <w:pStyle w:val="Normal"/>
        <w:rPr/>
      </w:pPr>
      <w:r>
        <w:rPr/>
        <w:t xml:space="preserve">NERC does the “What” for reliability standards.  Today it also does the “How”.   This is where the GISB process can add value for the WEQ.  The compromises between the two extremes – core reliability and commercial needs - are needed to ensure the “How” practices are fair and non-discriminatory.  </w:t>
      </w:r>
    </w:p>
    <w:p>
      <w:pPr>
        <w:pStyle w:val="Normal"/>
        <w:rPr/>
      </w:pPr>
      <w:r>
        <w:rPr/>
      </w:r>
    </w:p>
    <w:p>
      <w:pPr>
        <w:pStyle w:val="Normal"/>
        <w:rPr>
          <w:u w:val="single"/>
        </w:rPr>
      </w:pPr>
      <w:r>
        <w:rPr>
          <w:u w:val="single"/>
        </w:rPr>
        <w:t>6. NERC/EISB Concerns on how to proceed</w:t>
      </w:r>
    </w:p>
    <w:p>
      <w:pPr>
        <w:pStyle w:val="Normal"/>
        <w:rPr>
          <w:u w:val="single"/>
        </w:rPr>
      </w:pPr>
      <w:r>
        <w:rPr>
          <w:u w:val="single"/>
        </w:rPr>
      </w:r>
    </w:p>
    <w:p>
      <w:pPr>
        <w:pStyle w:val="Heading1"/>
        <w:ind w:hanging="0" w:start="0"/>
        <w:rPr>
          <w:i/>
          <w:i/>
          <w:u w:val="none"/>
        </w:rPr>
      </w:pPr>
      <w:r>
        <w:rPr>
          <w:i/>
          <w:u w:val="none"/>
        </w:rPr>
        <w:t>Standards should not overlap – standards should not conflict</w:t>
      </w:r>
    </w:p>
    <w:p>
      <w:pPr>
        <w:pStyle w:val="Normal"/>
        <w:rPr>
          <w:i/>
          <w:i/>
          <w:u w:val="none"/>
        </w:rPr>
      </w:pPr>
      <w:r>
        <w:rPr>
          <w:i/>
          <w:u w:val="none"/>
        </w:rPr>
      </w:r>
    </w:p>
    <w:p>
      <w:pPr>
        <w:pStyle w:val="Normal"/>
        <w:rPr/>
      </w:pPr>
      <w:r>
        <w:rPr/>
        <w:t>There are concerns over the establishment of 2 overlapping organizations, one focused on reliability standards and one dealing with “Market Interface”.  There should be no duplication or conflict between standards (reliability rules and commercial/market interface rules do not conflict)</w:t>
      </w:r>
    </w:p>
    <w:p>
      <w:pPr>
        <w:pStyle w:val="Normal"/>
        <w:rPr/>
      </w:pPr>
      <w:r>
        <w:rPr/>
      </w:r>
    </w:p>
    <w:p>
      <w:pPr>
        <w:pStyle w:val="Normal"/>
        <w:rPr>
          <w:u w:val="single"/>
        </w:rPr>
      </w:pPr>
      <w:r>
        <w:rPr>
          <w:u w:val="single"/>
        </w:rPr>
        <w:t>7. NERC/EISB Transition</w:t>
      </w:r>
    </w:p>
    <w:p>
      <w:pPr>
        <w:pStyle w:val="Normal"/>
        <w:rPr>
          <w:u w:val="single"/>
        </w:rPr>
      </w:pPr>
      <w:r>
        <w:rPr>
          <w:u w:val="single"/>
        </w:rPr>
      </w:r>
    </w:p>
    <w:p>
      <w:pPr>
        <w:pStyle w:val="Normal"/>
        <w:rPr/>
      </w:pPr>
      <w:r>
        <w:rPr/>
        <w:t>A debate is forming over who will lead the development of these market interface practices?  EPSA asks - Could the reliability rules be established by an organization that is structured within the EISB organization?</w:t>
      </w:r>
    </w:p>
    <w:p>
      <w:pPr>
        <w:pStyle w:val="Normal"/>
        <w:rPr/>
      </w:pPr>
      <w:r>
        <w:rPr/>
      </w:r>
    </w:p>
    <w:p>
      <w:pPr>
        <w:pStyle w:val="Normal"/>
        <w:rPr/>
      </w:pPr>
      <w:r>
        <w:rPr/>
      </w:r>
    </w:p>
    <w:p>
      <w:pPr>
        <w:pStyle w:val="Heading1"/>
        <w:ind w:hanging="0" w:start="0"/>
        <w:rPr/>
      </w:pPr>
      <w:r>
        <w:rPr/>
        <w:t>8. Critical Considerations for Development of the Segments in the Wholesale Electric Quadrant</w:t>
      </w:r>
    </w:p>
    <w:p>
      <w:pPr>
        <w:pStyle w:val="Normal"/>
        <w:rPr/>
      </w:pPr>
      <w:r>
        <w:rPr/>
      </w:r>
    </w:p>
    <w:p>
      <w:pPr>
        <w:pStyle w:val="Normal"/>
        <w:rPr/>
      </w:pPr>
      <w:r>
        <w:rPr/>
        <w:t>GISB segments may not “fit” into the WEQ.</w:t>
      </w:r>
    </w:p>
    <w:p>
      <w:pPr>
        <w:pStyle w:val="Normal"/>
        <w:rPr/>
      </w:pPr>
      <w:r>
        <w:rPr/>
      </w:r>
    </w:p>
    <w:p>
      <w:pPr>
        <w:pStyle w:val="Normal"/>
        <w:rPr/>
      </w:pPr>
      <w:r>
        <w:rPr/>
        <w:t>Sectors must be distinct and function-based in relationship to the electric industry marketplace  (e.g. – a sector for municipalities is not relevant since these are not distinct players within the functions that constitute the electric industry marketplace, such entities may own transmission, own generation, serve retail load, and even trade wholesale energy, or a sector for non-jurisdictional vertically integrated load serving entities is not distinct in its functions in the marketplace)</w:t>
      </w:r>
    </w:p>
    <w:p>
      <w:pPr>
        <w:pStyle w:val="Normal"/>
        <w:rPr/>
      </w:pPr>
      <w:r>
        <w:rPr/>
      </w:r>
    </w:p>
    <w:p>
      <w:pPr>
        <w:pStyle w:val="Normal"/>
        <w:rPr/>
      </w:pPr>
      <w:r>
        <w:rPr/>
        <w:t>Sectors must be complementary to the standards and issues of relevance to EISB’s charge and scope (e.g. – there should not be a distinct sector for entities that provide wood poles for distribution facilities, or a sector for transmission owner is duplicates the sector for transmission provider since both types are impacted in the same fashion by these standards, although a transmission owner may have cost recovery concerns whereas a transmission provider may only be delegated its capabilities by the transmission owner, such as RTOs, those cost recovery mechanisms of TO’s are not under the EISB charter)</w:t>
      </w:r>
    </w:p>
    <w:p>
      <w:pPr>
        <w:pStyle w:val="Normal"/>
        <w:rPr>
          <w:u w:val="single"/>
        </w:rPr>
      </w:pPr>
      <w:r>
        <w:rPr>
          <w:u w:val="single"/>
        </w:rPr>
      </w:r>
    </w:p>
    <w:p>
      <w:pPr>
        <w:pStyle w:val="BodyText"/>
        <w:numPr>
          <w:ilvl w:val="0"/>
          <w:numId w:val="3"/>
        </w:numPr>
        <w:rPr/>
      </w:pPr>
      <w:r>
        <w:rPr/>
        <w:t>(Continued)</w:t>
      </w:r>
    </w:p>
    <w:p>
      <w:pPr>
        <w:pStyle w:val="BodyText"/>
        <w:rPr/>
      </w:pPr>
      <w:r>
        <w:rPr/>
      </w:r>
    </w:p>
    <w:p>
      <w:pPr>
        <w:pStyle w:val="BodyText"/>
        <w:rPr>
          <w:i/>
          <w:i/>
          <w:u w:val="none"/>
        </w:rPr>
      </w:pPr>
      <w:r>
        <w:rPr>
          <w:i/>
          <w:u w:val="none"/>
        </w:rPr>
        <w:t>Segment Considerations (Not intended to be a EPSA Proposed Framework)</w:t>
      </w:r>
    </w:p>
    <w:p>
      <w:pPr>
        <w:pStyle w:val="BodyText"/>
        <w:rPr>
          <w:i/>
          <w:i/>
          <w:u w:val="none"/>
        </w:rPr>
      </w:pPr>
      <w:r>
        <w:rPr>
          <w:i/>
          <w:u w:val="none"/>
        </w:rPr>
      </w:r>
    </w:p>
    <w:p>
      <w:pPr>
        <w:pStyle w:val="Normal"/>
        <w:rPr/>
      </w:pPr>
      <w:r>
        <w:rPr/>
        <w:t xml:space="preserve">EPSA members wish to consider a  possible breakdown of the sectors in the WEQ on a </w:t>
      </w:r>
      <w:r>
        <w:rPr>
          <w:i/>
        </w:rPr>
        <w:t>functional</w:t>
      </w:r>
      <w:r>
        <w:rPr/>
        <w:t xml:space="preserve"> approach based on needs of the market-reliability interface.  These functions can be characterized as:</w:t>
      </w:r>
    </w:p>
    <w:p>
      <w:pPr>
        <w:pStyle w:val="Normal"/>
        <w:numPr>
          <w:ilvl w:val="0"/>
          <w:numId w:val="4"/>
        </w:numPr>
        <w:rPr/>
      </w:pPr>
      <w:r>
        <w:rPr/>
        <w:t>generators</w:t>
      </w:r>
    </w:p>
    <w:p>
      <w:pPr>
        <w:pStyle w:val="Normal"/>
        <w:numPr>
          <w:ilvl w:val="0"/>
          <w:numId w:val="4"/>
        </w:numPr>
        <w:rPr/>
      </w:pPr>
      <w:r>
        <w:rPr/>
        <w:t>transmission service providers</w:t>
      </w:r>
    </w:p>
    <w:p>
      <w:pPr>
        <w:pStyle w:val="Normal"/>
        <w:numPr>
          <w:ilvl w:val="0"/>
          <w:numId w:val="4"/>
        </w:numPr>
        <w:rPr/>
      </w:pPr>
      <w:r>
        <w:rPr/>
        <w:t>wholesale marketers</w:t>
      </w:r>
    </w:p>
    <w:p>
      <w:pPr>
        <w:pStyle w:val="Normal"/>
        <w:numPr>
          <w:ilvl w:val="0"/>
          <w:numId w:val="4"/>
        </w:numPr>
        <w:rPr/>
      </w:pPr>
      <w:r>
        <w:rPr/>
        <w:t>Wholesale level customers</w:t>
      </w:r>
    </w:p>
    <w:p>
      <w:pPr>
        <w:pStyle w:val="Normal"/>
        <w:numPr>
          <w:ilvl w:val="0"/>
          <w:numId w:val="4"/>
        </w:numPr>
        <w:rPr/>
      </w:pPr>
      <w:r>
        <w:rPr/>
        <w:t>system service providers, unsure of the need for this segment</w:t>
      </w:r>
    </w:p>
    <w:p>
      <w:pPr>
        <w:pStyle w:val="Normal"/>
        <w:numPr>
          <w:ilvl w:val="1"/>
          <w:numId w:val="4"/>
        </w:numPr>
        <w:rPr/>
      </w:pPr>
      <w:r>
        <w:rPr/>
        <w:t>overlap, e.g. PJM also an RTO</w:t>
      </w:r>
    </w:p>
    <w:p>
      <w:pPr>
        <w:pStyle w:val="Normal"/>
        <w:numPr>
          <w:ilvl w:val="1"/>
          <w:numId w:val="4"/>
        </w:numPr>
        <w:rPr/>
      </w:pPr>
      <w:r>
        <w:rPr/>
        <w:t>various, some independent –OATI, Seimens, some not - NERC</w:t>
      </w:r>
    </w:p>
    <w:p>
      <w:pPr>
        <w:pStyle w:val="Normal"/>
        <w:numPr>
          <w:ilvl w:val="1"/>
          <w:numId w:val="4"/>
        </w:numPr>
        <w:rPr/>
      </w:pPr>
      <w:r>
        <w:rPr/>
        <w:t>dynamic, RTOs forming</w:t>
      </w:r>
    </w:p>
    <w:p>
      <w:pPr>
        <w:pStyle w:val="Normal"/>
        <w:rPr/>
      </w:pPr>
      <w:r>
        <w:rPr/>
      </w:r>
    </w:p>
    <w:p>
      <w:pPr>
        <w:pStyle w:val="Normal"/>
        <w:rPr/>
      </w:pPr>
      <w:r>
        <w:rPr/>
      </w:r>
    </w:p>
    <w:p>
      <w:pPr>
        <w:pStyle w:val="Normal"/>
        <w:numPr>
          <w:ilvl w:val="0"/>
          <w:numId w:val="3"/>
        </w:numPr>
        <w:rPr>
          <w:u w:val="single"/>
        </w:rPr>
      </w:pPr>
      <w:r>
        <w:rPr>
          <w:u w:val="single"/>
        </w:rPr>
        <w:t>(Continued)</w:t>
      </w:r>
    </w:p>
    <w:p>
      <w:pPr>
        <w:pStyle w:val="Normal"/>
        <w:rPr>
          <w:u w:val="single"/>
        </w:rPr>
      </w:pPr>
      <w:r>
        <w:rPr>
          <w:u w:val="single"/>
        </w:rPr>
      </w:r>
    </w:p>
    <w:p>
      <w:pPr>
        <w:pStyle w:val="Normal"/>
        <w:rPr/>
      </w:pPr>
      <w:r>
        <w:rPr/>
        <w:t>Need to limit number of segments to prevent dilution of votes.</w:t>
      </w:r>
    </w:p>
    <w:p>
      <w:pPr>
        <w:pStyle w:val="Normal"/>
        <w:rPr/>
      </w:pPr>
      <w:r>
        <w:rPr/>
      </w:r>
    </w:p>
    <w:p>
      <w:pPr>
        <w:pStyle w:val="Normal"/>
        <w:rPr/>
      </w:pPr>
      <w:r>
        <w:rPr/>
        <w:t xml:space="preserve">Every industry player that has a stake in the wholesale market/reliability interface issues should fit into one of these sectors.  </w:t>
      </w:r>
    </w:p>
    <w:p>
      <w:pPr>
        <w:pStyle w:val="Normal"/>
        <w:rPr/>
      </w:pPr>
      <w:r>
        <w:rPr/>
      </w:r>
    </w:p>
    <w:p>
      <w:pPr>
        <w:pStyle w:val="Normal"/>
        <w:rPr/>
      </w:pPr>
      <w:r>
        <w:rPr/>
        <w:t>No segment may dominate.</w:t>
      </w:r>
    </w:p>
    <w:p>
      <w:pPr>
        <w:pStyle w:val="Normal"/>
        <w:rPr/>
      </w:pPr>
      <w:r>
        <w:rPr/>
      </w:r>
    </w:p>
    <w:p>
      <w:pPr>
        <w:pStyle w:val="Normal"/>
        <w:rPr/>
      </w:pPr>
      <w:r>
        <w:rPr/>
        <w:t>11</w:t>
      </w:r>
      <w:r>
        <w:rPr>
          <w:u w:val="single"/>
        </w:rPr>
        <w:t>. FERC Order No. 2000</w:t>
      </w:r>
    </w:p>
    <w:p>
      <w:pPr>
        <w:pStyle w:val="Normal"/>
        <w:rPr/>
      </w:pPr>
      <w:r>
        <w:rPr/>
      </w:r>
    </w:p>
    <w:p>
      <w:pPr>
        <w:pStyle w:val="Normal"/>
        <w:rPr/>
      </w:pPr>
      <w:r>
        <w:rPr/>
        <w:t>States that the RTO will ensure the integration of reliability and market interface practices.  This is a powerful requirement that jurisdictional transmission companies must fulfill.  EPSA believes that an organization that can deal with both reliability and commercial interests – and of , coordination of the market interface – is essential for this notion in Order No. 2000 to be fulfilled.</w:t>
      </w:r>
    </w:p>
    <w:p>
      <w:pPr>
        <w:pStyle w:val="Normal"/>
        <w:rPr/>
      </w:pPr>
      <w:r>
        <w:rPr/>
      </w:r>
    </w:p>
    <w:p>
      <w:pPr>
        <w:pStyle w:val="Normal"/>
        <w:rPr>
          <w:u w:val="single"/>
        </w:rPr>
      </w:pPr>
      <w:r>
        <w:rPr>
          <w:u w:val="single"/>
        </w:rPr>
        <w:t>12. To Move Forward</w:t>
      </w:r>
    </w:p>
    <w:p>
      <w:pPr>
        <w:pStyle w:val="Normal"/>
        <w:rPr>
          <w:u w:val="single"/>
        </w:rPr>
      </w:pPr>
      <w:r>
        <w:rPr>
          <w:u w:val="single"/>
        </w:rPr>
      </w:r>
    </w:p>
    <w:p>
      <w:pPr>
        <w:pStyle w:val="Normal"/>
        <w:rPr/>
      </w:pPr>
      <w:r>
        <w:rPr/>
        <w:t>Before EPSA members can endorse any proposal for a standards setting organization – key issues must be resolved.  These issues are fundamental in ensuring market interface rules are developed in a fair manner and that the needs of the reliability standards do not overshadow the oftentimes opposing needs of fair commercial needs.</w:t>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9"/>
      <w:numFmt w:val="decimal"/>
      <w:lvlText w:val="%1."/>
      <w:lvlJc w:val="start"/>
      <w:pPr>
        <w:tabs>
          <w:tab w:val="num" w:pos="360"/>
        </w:tabs>
        <w:ind w:start="360" w:hanging="360"/>
      </w:pPr>
      <w:rPr/>
    </w:lvl>
  </w:abstractNum>
  <w:abstractNum w:abstractNumId="4">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2001-08-09T15:13:00Z</dcterms:created>
  <dc:creator>cyeung</dc:creator>
  <dc:description/>
  <dc:language>en-CA</dc:language>
  <cp:lastModifiedBy>EPSA Staff</cp:lastModifiedBy>
  <dcterms:modified xsi:type="dcterms:W3CDTF">2001-08-14T18:44:00Z</dcterms:modified>
  <cp:revision>95</cp:revision>
  <dc:subject/>
  <dc:title>EPSA Presentation for GISB Meeting on Strawman II for an EOSB</dc:title>
</cp:coreProperties>
</file>