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sz w:val="28"/>
        </w:rPr>
      </w:pPr>
      <w:r>
        <w:rPr>
          <w:sz w:val="28"/>
        </w:rPr>
        <w:t>Germany Regulatory Strategy and On-Going Efforts</w:t>
      </w:r>
    </w:p>
    <w:p>
      <w:pPr>
        <w:pStyle w:val="Normal"/>
        <w:rPr>
          <w:sz w:val="28"/>
        </w:rPr>
      </w:pPr>
      <w:r>
        <w:rPr>
          <w:sz w:val="28"/>
        </w:rPr>
      </w:r>
    </w:p>
    <w:p>
      <w:pPr>
        <w:pStyle w:val="Normal"/>
        <w:rPr>
          <w:b/>
          <w:bCs/>
        </w:rPr>
      </w:pPr>
      <w:r>
        <w:rPr>
          <w:b/>
          <w:bCs/>
        </w:rPr>
      </w:r>
    </w:p>
    <w:p>
      <w:pPr>
        <w:pStyle w:val="Heading1"/>
        <w:ind w:hanging="0" w:start="0"/>
        <w:rPr>
          <w:b/>
          <w:bCs/>
        </w:rPr>
      </w:pPr>
      <w:r>
        <w:rPr>
          <w:b/>
          <w:bCs/>
        </w:rPr>
        <w:t>I. Importance of German Energy Market</w:t>
      </w:r>
    </w:p>
    <w:p>
      <w:pPr>
        <w:pStyle w:val="Normal"/>
        <w:rPr/>
      </w:pPr>
      <w:r>
        <w:rPr/>
        <w:t xml:space="preserve">Germany market is the linchpin for the successful establishment of an integrated internal energy market in Europe: </w:t>
      </w:r>
    </w:p>
    <w:p>
      <w:pPr>
        <w:pStyle w:val="Normal"/>
        <w:numPr>
          <w:ilvl w:val="0"/>
          <w:numId w:val="7"/>
        </w:numPr>
        <w:rPr/>
      </w:pPr>
      <w:r>
        <w:rPr/>
        <w:t>Largest electricity market in Europe (492 Twh)</w:t>
      </w:r>
    </w:p>
    <w:p>
      <w:pPr>
        <w:pStyle w:val="Normal"/>
        <w:numPr>
          <w:ilvl w:val="0"/>
          <w:numId w:val="7"/>
        </w:numPr>
        <w:rPr/>
      </w:pPr>
      <w:r>
        <w:rPr/>
        <w:t>Second largest (after UK) gas market in Europe ( 80 bcm)</w:t>
      </w:r>
    </w:p>
    <w:p>
      <w:pPr>
        <w:pStyle w:val="Normal"/>
        <w:numPr>
          <w:ilvl w:val="0"/>
          <w:numId w:val="7"/>
        </w:numPr>
        <w:rPr/>
      </w:pPr>
      <w:r>
        <w:rPr/>
        <w:t>Principle hub of Enron’s continental trading activities</w:t>
      </w:r>
    </w:p>
    <w:p>
      <w:pPr>
        <w:pStyle w:val="Normal"/>
        <w:numPr>
          <w:ilvl w:val="0"/>
          <w:numId w:val="7"/>
        </w:numPr>
        <w:rPr/>
      </w:pPr>
      <w:r>
        <w:rPr/>
        <w:t>Nine bordering countries including EU and future EU members contries, long-term power contracts with which are crucial to Enron’s Continental power and gas businesses.</w:t>
      </w:r>
    </w:p>
    <w:p>
      <w:pPr>
        <w:pStyle w:val="Normal"/>
        <w:numPr>
          <w:ilvl w:val="0"/>
          <w:numId w:val="7"/>
        </w:numPr>
        <w:rPr/>
      </w:pPr>
      <w:r>
        <w:rPr/>
        <w:t>Principle connection to Nordpool</w:t>
      </w:r>
    </w:p>
    <w:p>
      <w:pPr>
        <w:pStyle w:val="Normal"/>
        <w:rPr>
          <w:b/>
          <w:bCs/>
        </w:rPr>
      </w:pPr>
      <w:r>
        <w:rPr>
          <w:b/>
          <w:bCs/>
        </w:rPr>
      </w:r>
    </w:p>
    <w:p>
      <w:pPr>
        <w:pStyle w:val="Heading1"/>
        <w:ind w:hanging="0" w:start="0"/>
        <w:rPr>
          <w:b/>
          <w:bCs/>
        </w:rPr>
      </w:pPr>
      <w:r>
        <w:rPr>
          <w:b/>
          <w:bCs/>
        </w:rPr>
        <w:t>II. Overall Strategy</w:t>
      </w:r>
    </w:p>
    <w:p>
      <w:pPr>
        <w:pStyle w:val="Normal"/>
        <w:rPr/>
      </w:pPr>
      <w:r>
        <w:rPr/>
        <w:t>The strategy is to put the key building blocks in place to support a fully liberalised market in Germany at all levels, not just trading. The various efforts underway (whether advocacy, regulatory, or commercial-support) aim to put in place one or more of these building blocks:</w:t>
      </w:r>
    </w:p>
    <w:p>
      <w:pPr>
        <w:pStyle w:val="Normal"/>
        <w:rPr/>
      </w:pPr>
      <w:r>
        <w:rPr/>
        <w:t xml:space="preserve"> </w:t>
      </w:r>
    </w:p>
    <w:p>
      <w:pPr>
        <w:pStyle w:val="Normal"/>
        <w:numPr>
          <w:ilvl w:val="0"/>
          <w:numId w:val="3"/>
        </w:numPr>
        <w:rPr/>
      </w:pPr>
      <w:r>
        <w:rPr/>
        <w:t xml:space="preserve">Deeper unbundling of networks – requiring legal, managerial, informational, and resource unbundling, in line with EU Acceleration Directive. </w:t>
      </w:r>
    </w:p>
    <w:p>
      <w:pPr>
        <w:pStyle w:val="Normal"/>
        <w:numPr>
          <w:ilvl w:val="0"/>
          <w:numId w:val="3"/>
        </w:numPr>
        <w:rPr/>
      </w:pPr>
      <w:r>
        <w:rPr/>
        <w:t>Regulation of network access and abandonment of negotiated TPA based on voluntary agreements (so-called VVs).</w:t>
      </w:r>
    </w:p>
    <w:p>
      <w:pPr>
        <w:pStyle w:val="Normal"/>
        <w:numPr>
          <w:ilvl w:val="0"/>
          <w:numId w:val="3"/>
        </w:numPr>
        <w:rPr/>
      </w:pPr>
      <w:r>
        <w:rPr/>
        <w:t>Improve market rules on access and ancillary services</w:t>
      </w:r>
    </w:p>
    <w:p>
      <w:pPr>
        <w:pStyle w:val="Normal"/>
        <w:numPr>
          <w:ilvl w:val="0"/>
          <w:numId w:val="3"/>
        </w:numPr>
        <w:rPr/>
      </w:pPr>
      <w:r>
        <w:rPr/>
        <w:t>Remove/reduce barriers to cross-border trade</w:t>
      </w:r>
    </w:p>
    <w:p>
      <w:pPr>
        <w:pStyle w:val="Normal"/>
        <w:numPr>
          <w:ilvl w:val="0"/>
          <w:numId w:val="3"/>
        </w:numPr>
        <w:rPr/>
      </w:pPr>
      <w:r>
        <w:rPr/>
        <w:t>Increase number of counter-parties in market</w:t>
      </w:r>
    </w:p>
    <w:p>
      <w:pPr>
        <w:pStyle w:val="Normal"/>
        <w:numPr>
          <w:ilvl w:val="0"/>
          <w:numId w:val="3"/>
        </w:numPr>
        <w:rPr/>
      </w:pPr>
      <w:r>
        <w:rPr/>
        <w:t>Improve transparency</w:t>
      </w:r>
    </w:p>
    <w:p>
      <w:pPr>
        <w:pStyle w:val="Normal"/>
        <w:rPr/>
      </w:pPr>
      <w:r>
        <w:rPr/>
      </w:r>
    </w:p>
    <w:p>
      <w:pPr>
        <w:pStyle w:val="Normal"/>
        <w:rPr/>
      </w:pPr>
      <w:r>
        <w:rPr/>
        <w:t xml:space="preserve">Development of the German market – while promising in some respects - continues to be hindered by several structural and regulatory barriers: </w:t>
      </w:r>
      <w:r>
        <w:rPr>
          <w:rStyle w:val="FootnoteCharacters"/>
          <w:rStyle w:val="FootnoteReference"/>
        </w:rPr>
        <w:footnoteReference w:id="2"/>
      </w:r>
    </w:p>
    <w:p>
      <w:pPr>
        <w:pStyle w:val="Normal"/>
        <w:rPr/>
      </w:pPr>
      <w:r>
        <w:rPr/>
      </w:r>
    </w:p>
    <w:p>
      <w:pPr>
        <w:pStyle w:val="Normal"/>
        <w:numPr>
          <w:ilvl w:val="0"/>
          <w:numId w:val="4"/>
        </w:numPr>
        <w:rPr/>
      </w:pPr>
      <w:r>
        <w:rPr>
          <w:u w:val="single"/>
        </w:rPr>
        <w:t>Lack of unbundling</w:t>
      </w:r>
      <w:r>
        <w:rPr/>
        <w:t xml:space="preserve"> between network and competitive business serves as the basis for generally discriminatory behavior with anti-competitive intent (i.e. cross-subsidisation, monopoly pricing of network services, misuse of confidential third-party information)</w:t>
      </w:r>
    </w:p>
    <w:p>
      <w:pPr>
        <w:pStyle w:val="Normal"/>
        <w:numPr>
          <w:ilvl w:val="0"/>
          <w:numId w:val="4"/>
        </w:numPr>
        <w:rPr/>
      </w:pPr>
      <w:r>
        <w:rPr>
          <w:u w:val="single"/>
        </w:rPr>
        <w:t>Negotiated third party access</w:t>
      </w:r>
      <w:r>
        <w:rPr/>
        <w:t xml:space="preserve"> has only benefited wholesale trading. Otherwise, NTPA, based on voluntary agreements, has generated significant problems in our ability to create a sustainable origination business in both power and gas.</w:t>
      </w:r>
    </w:p>
    <w:p>
      <w:pPr>
        <w:pStyle w:val="Normal"/>
        <w:numPr>
          <w:ilvl w:val="0"/>
          <w:numId w:val="4"/>
        </w:numPr>
        <w:rPr/>
      </w:pPr>
      <w:r>
        <w:rPr>
          <w:u w:val="single"/>
        </w:rPr>
        <w:t>No regulatory oversight</w:t>
      </w:r>
      <w:r>
        <w:rPr/>
        <w:t>. Federal Cartel Office serves as a proxy regulatory authority but has no ability to regulate ex-ante, approve network access conditions, or enforce its decisions immediately. It generally acts only on a formal complaint, has considerable discretion whether to  take a case on, can only act ex-poste, and all decisions cannot be enforced until they have run through all instances of appeal.  It also suffers from political influence by the Economics Ministry (BMWi)</w:t>
      </w:r>
    </w:p>
    <w:p>
      <w:pPr>
        <w:pStyle w:val="Normal"/>
        <w:numPr>
          <w:ilvl w:val="0"/>
          <w:numId w:val="4"/>
        </w:numPr>
        <w:rPr/>
      </w:pPr>
      <w:r>
        <w:rPr>
          <w:u w:val="single"/>
        </w:rPr>
        <w:t xml:space="preserve">Rapid Concentration. </w:t>
      </w:r>
      <w:r>
        <w:rPr/>
        <w:t>Power market is rapidly concentrating. In just over a year, the number of large G&amp;Ts (Verbundunternehmen) has gone from eight to four. The number of Munis that are now partially or wholly owned by the Verbunds is roughly 50%. The first cross-commodity merger is now in train: Eon and Ruhrgas which will combine the second largest power utility with the gas giant that has over 65% of the wholesale gas market.</w:t>
      </w:r>
    </w:p>
    <w:p>
      <w:pPr>
        <w:pStyle w:val="Normal"/>
        <w:numPr>
          <w:ilvl w:val="0"/>
          <w:numId w:val="4"/>
        </w:numPr>
        <w:rPr/>
      </w:pPr>
      <w:r>
        <w:rPr>
          <w:u w:val="single"/>
        </w:rPr>
        <w:t>Weak Political Will</w:t>
      </w:r>
      <w:r>
        <w:rPr/>
        <w:t xml:space="preserve"> Germany energy policy set by Economics Minister Mueller who has shown limited interest in advancing liberalisation. Policy priorities are nuclear phase-out, security of supply, promotion of renewables, and limiting job loss in energy sector. Political pressures and influence protect the following interest groups: </w:t>
      </w:r>
    </w:p>
    <w:p>
      <w:pPr>
        <w:pStyle w:val="Normal"/>
        <w:numPr>
          <w:ilvl w:val="1"/>
          <w:numId w:val="4"/>
        </w:numPr>
        <w:rPr/>
      </w:pPr>
      <w:r>
        <w:rPr/>
        <w:t>The Munis (Stadwerke),</w:t>
      </w:r>
    </w:p>
    <w:p>
      <w:pPr>
        <w:pStyle w:val="Normal"/>
        <w:numPr>
          <w:ilvl w:val="1"/>
          <w:numId w:val="4"/>
        </w:numPr>
        <w:rPr/>
      </w:pPr>
      <w:r>
        <w:rPr/>
        <w:t>The gas incumbents (gas importing and high pressure operators)</w:t>
      </w:r>
    </w:p>
    <w:p>
      <w:pPr>
        <w:pStyle w:val="Normal"/>
        <w:numPr>
          <w:ilvl w:val="1"/>
          <w:numId w:val="4"/>
        </w:numPr>
        <w:rPr/>
      </w:pPr>
      <w:r>
        <w:rPr/>
        <w:t>The power incumbents (Verbundunternehment)</w:t>
      </w:r>
    </w:p>
    <w:p>
      <w:pPr>
        <w:pStyle w:val="Normal"/>
        <w:rPr/>
      </w:pPr>
      <w:r>
        <w:rPr/>
      </w:r>
    </w:p>
    <w:p>
      <w:pPr>
        <w:pStyle w:val="Normal"/>
        <w:rPr/>
      </w:pPr>
      <w:r>
        <w:rPr>
          <w:rFonts w:eastAsia="Symbol" w:cs="Symbol" w:ascii="Symbol" w:hAnsi="Symbol"/>
        </w:rPr>
        <w:sym w:font="Symbol" w:char="f0de"/>
      </w:r>
      <w:r>
        <w:rPr/>
        <w:tab/>
        <w:t>EU and newcomers (lead by Enron) have made important progress in pushing the German government to develop the market and modify its pro-incumbent position.</w:t>
      </w:r>
    </w:p>
    <w:p>
      <w:pPr>
        <w:pStyle w:val="Normal"/>
        <w:rPr/>
      </w:pPr>
      <w:r>
        <w:rPr/>
      </w:r>
    </w:p>
    <w:p>
      <w:pPr>
        <w:pStyle w:val="Heading3"/>
        <w:ind w:hanging="0" w:start="0"/>
        <w:rPr>
          <w:i/>
          <w:i/>
          <w:iCs/>
        </w:rPr>
      </w:pPr>
      <w:r>
        <w:rPr>
          <w:i/>
          <w:iCs/>
        </w:rPr>
        <w:t xml:space="preserve">III. Regulatory efforts to overcome market barriers </w:t>
      </w:r>
    </w:p>
    <w:p>
      <w:pPr>
        <w:pStyle w:val="Normal"/>
        <w:rPr>
          <w:b/>
          <w:bCs/>
          <w:i/>
          <w:i/>
          <w:iCs/>
        </w:rPr>
      </w:pPr>
      <w:r>
        <w:rPr>
          <w:b/>
          <w:bCs/>
          <w:i/>
          <w:iCs/>
        </w:rPr>
      </w:r>
    </w:p>
    <w:p>
      <w:pPr>
        <w:pStyle w:val="Heading2"/>
        <w:ind w:hanging="0" w:start="0"/>
        <w:rPr>
          <w:b/>
          <w:bCs/>
        </w:rPr>
      </w:pPr>
      <w:r>
        <w:rPr>
          <w:b/>
          <w:bCs/>
        </w:rPr>
        <w:t>Power Trading</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Barrier</w:t>
            </w:r>
          </w:p>
        </w:tc>
        <w:tc>
          <w:tcPr>
            <w:tcW w:w="442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Regulatory Effort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Legacy contracts continue to block inter-connector capacity and discriminate against 3</w:t>
            </w:r>
            <w:r>
              <w:rPr>
                <w:vertAlign w:val="superscript"/>
              </w:rPr>
              <w:t>rd</w:t>
            </w:r>
            <w:r>
              <w:rPr/>
              <w:t xml:space="preserve"> party trades. Focus on easter interconnectors and cables to Nordpool.</w:t>
            </w:r>
          </w:p>
          <w:p>
            <w:pPr>
              <w:pStyle w:val="Normal"/>
              <w:rPr/>
            </w:pPr>
            <w:r>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 xml:space="preserve">Regulatory efforts (12%) involves P. Davies, Styles, Hennemeyer, and Kresse. </w:t>
            </w:r>
          </w:p>
          <w:p>
            <w:pPr>
              <w:pStyle w:val="Normal"/>
              <w:rPr/>
            </w:pPr>
            <w:r>
              <w:rPr/>
              <w:t>1. Have worked successfully with Linklaters to secure access to interconnectors to Czech and Poland.</w:t>
            </w:r>
          </w:p>
          <w:p>
            <w:pPr>
              <w:pStyle w:val="Normal"/>
              <w:rPr/>
            </w:pPr>
            <w:r>
              <w:rPr/>
              <w:t xml:space="preserve">2. Regulatory support to commercial effort against owners of Baltic Cable (Eon) for denial of access on reasonable terms. Efforts have brought Baltic to the table. </w:t>
            </w:r>
          </w:p>
          <w:p>
            <w:pPr>
              <w:pStyle w:val="Normal"/>
              <w:rPr/>
            </w:pPr>
            <w:r>
              <w:rPr/>
              <w:t>Similar effort to force reasonable access to the Swepol cable</w:t>
            </w:r>
          </w:p>
          <w:p>
            <w:pPr>
              <w:pStyle w:val="Normal"/>
              <w:rPr/>
            </w:pPr>
            <w:r>
              <w:rPr/>
              <w:t>3. Occasional support for EU investigations into interconnector matters.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T-Component charged for cross-border trade (DM 1.25/mwh) continues to be source of friction between Enron (and other 3</w:t>
            </w:r>
            <w:r>
              <w:rPr>
                <w:vertAlign w:val="superscript"/>
              </w:rPr>
              <w:t>rd</w:t>
            </w:r>
            <w:r>
              <w:rPr/>
              <w:t xml:space="preserve"> parties) and incumbent network operators. EU considers it “strongly discriminatory” and anti-competitive. </w:t>
            </w:r>
          </w:p>
          <w:p>
            <w:pPr>
              <w:pStyle w:val="Normal"/>
              <w:rPr/>
            </w:pPr>
            <w:r>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Regulatory Effort (6%.) Co-ordination with Kresse.</w:t>
            </w:r>
          </w:p>
          <w:p>
            <w:pPr>
              <w:pStyle w:val="Normal"/>
              <w:rPr/>
            </w:pPr>
            <w:r>
              <w:rPr/>
              <w:t xml:space="preserve">Principle focus of effort is to force Eon to either sue us or negotiate for DM 4 mn in T-component billings owed by Enron to Eon. We reject basis and level of charges. </w:t>
            </w:r>
          </w:p>
          <w:p>
            <w:pPr>
              <w:pStyle w:val="Normal"/>
              <w:rPr/>
            </w:pPr>
            <w:r>
              <w:rPr/>
              <w:t xml:space="preserve">Have actively supported EU investigations in this matter. </w:t>
            </w:r>
          </w:p>
          <w:p>
            <w:pPr>
              <w:pStyle w:val="Normal"/>
              <w:rPr/>
            </w:pPr>
            <w:r>
              <w:rPr/>
              <w:t xml:space="preserve">Expect court case to begin within 4 weeks or offer of settlement from Eon. </w:t>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Threat of application of “Reciprocity Clause” that may reduce or eliminate our ability to source power and gas from a number of EU and non-EU countries.</w:t>
            </w:r>
          </w:p>
          <w:p>
            <w:pPr>
              <w:pStyle w:val="Normal"/>
              <w:rPr/>
            </w:pPr>
            <w:r>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Regulatory Effort (10%) led by Hennemeyer.</w:t>
            </w:r>
          </w:p>
          <w:p>
            <w:pPr>
              <w:pStyle w:val="Normal"/>
              <w:rPr/>
            </w:pPr>
            <w:r>
              <w:rPr/>
              <w:t xml:space="preserve">Serious threat. Government seeks thru revised energy law, a “free option” to stop power or gas imports from non-reciprocal countries. Has generated significant uncertainty in market and offers scope for serious abuse by incumbents. Am dedicating resources to legal analysis and (joint) lobbying in Berlin and Brussels to eliminate proposed change to energy law or render it harmless.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Lack of intra-day trading (and other protocol mismatches) undermines increasing cross-border trading, particularly between France and Germany</w:t>
            </w:r>
          </w:p>
          <w:p>
            <w:pPr>
              <w:pStyle w:val="Normal"/>
              <w:rPr/>
            </w:pPr>
            <w:r>
              <w:rPr/>
            </w:r>
          </w:p>
          <w:p>
            <w:pPr>
              <w:pStyle w:val="Normal"/>
              <w:rPr/>
            </w:pPr>
            <w:r>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 xml:space="preserve">Effort (1%)  Effort largely carried by Heribert Kresse as part of EFET involvement in VV3 negotiations.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Rapid vertical integration in the power industry is rapidly reducing the number of traded counter parties in Germany. The number of munis that are no longer able to act independently due to Verbund ownership is 50%.</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Regulatory Effort (6%) led by Hennemeyer</w:t>
            </w:r>
          </w:p>
          <w:p>
            <w:pPr>
              <w:pStyle w:val="Normal"/>
              <w:rPr/>
            </w:pPr>
            <w:r>
              <w:rPr/>
              <w:t xml:space="preserve">Enron is now intervening at the Federal Cartel Office the acquisition of GEW (Germany’s largest muni – Cologne) by RWE to seek to block the acquisition. Failing this we will seek divesture of some assets, improve access to the regional network, as well as GEW’s trading function to ensure that it remains an active trading entity.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 xml:space="preserve">Eon has been a key player in hindering the development of a liberalised origination market in Germany. Their influence in the German Ministry is very significant. </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Regulatory Effort (9)% led by Hennemeyer with close cooperation with Tom Briggs in DC.</w:t>
            </w:r>
          </w:p>
          <w:p>
            <w:pPr>
              <w:pStyle w:val="Normal"/>
              <w:rPr/>
            </w:pPr>
            <w:r>
              <w:rPr/>
              <w:t xml:space="preserve">Enron is in the process of intervening (FERC, SEC, PUCs) in the US against Eon acquistions of US utilities and is also raising the problems we are having in market entry at the highest political levels. The aim is to gain leverage with Eon to force improvements in the access and trading environment in Germany. Goals would include sale or tolling agreements for certain plants in Germany, improved TPA access at the lower voltage/pressure levels in companies which Eon controls, and access to sub sea cables controlled by Eon. </w:t>
            </w:r>
          </w:p>
        </w:tc>
      </w:tr>
    </w:tbl>
    <w:p>
      <w:pPr>
        <w:pStyle w:val="Normal"/>
        <w:rPr/>
      </w:pPr>
      <w:r>
        <w:rPr/>
      </w:r>
    </w:p>
    <w:p>
      <w:pPr>
        <w:pStyle w:val="Normal"/>
        <w:rPr/>
      </w:pPr>
      <w:r>
        <w:rPr/>
      </w:r>
    </w:p>
    <w:p>
      <w:pPr>
        <w:pStyle w:val="Heading4"/>
        <w:ind w:hanging="0" w:start="0"/>
        <w:rPr/>
      </w:pPr>
      <w:r>
        <w:rPr/>
        <w:t>Gas Trading and  Origination</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Barrier</w:t>
            </w:r>
          </w:p>
        </w:tc>
        <w:tc>
          <w:tcPr>
            <w:tcW w:w="442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Regulatory Effort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 xml:space="preserve">Gas origination efforts seriously hampered by discrimination and biased terms of access to networks. </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Regulatory Effort: Very Significant – 26%</w:t>
            </w:r>
          </w:p>
          <w:p>
            <w:pPr>
              <w:pStyle w:val="Normal"/>
              <w:rPr/>
            </w:pPr>
            <w:r>
              <w:rPr/>
              <w:t>(Hennemeyer/Haack/Wood)</w:t>
            </w:r>
          </w:p>
          <w:p>
            <w:pPr>
              <w:pStyle w:val="Normal"/>
              <w:ind w:start="360" w:end="0"/>
              <w:rPr/>
            </w:pPr>
            <w:r>
              <w:rPr/>
            </w:r>
          </w:p>
          <w:p>
            <w:pPr>
              <w:pStyle w:val="Normal"/>
              <w:numPr>
                <w:ilvl w:val="0"/>
                <w:numId w:val="6"/>
              </w:numPr>
              <w:rPr/>
            </w:pPr>
            <w:r>
              <w:rPr/>
              <w:t xml:space="preserve">Represented EFET in </w:t>
            </w:r>
            <w:r>
              <w:rPr>
                <w:b/>
                <w:bCs/>
              </w:rPr>
              <w:t>Gas VV</w:t>
            </w:r>
            <w:r>
              <w:rPr/>
              <w:t xml:space="preserve"> negotiations for one year. Overall aim to work “within the system” and develop a workable TPA regime. Goal largely blocked by incumbent gas industry. EFET and Enron have officially withdrawn (9/2001). </w:t>
            </w:r>
          </w:p>
          <w:p>
            <w:pPr>
              <w:pStyle w:val="Normal"/>
              <w:numPr>
                <w:ilvl w:val="0"/>
                <w:numId w:val="6"/>
              </w:numPr>
              <w:rPr/>
            </w:pPr>
            <w:r>
              <w:rPr/>
              <w:t xml:space="preserve">Court action against local pipeline company </w:t>
            </w:r>
            <w:r>
              <w:rPr>
                <w:b/>
                <w:bCs/>
              </w:rPr>
              <w:t>MVV</w:t>
            </w:r>
            <w:r>
              <w:rPr/>
              <w:t xml:space="preserve"> to secure lower payment for transmission fee. Return of approx Dm 1 mn in overpayment of transport costs and establish public benchmark for appropriate transport pricing for local transport.</w:t>
            </w:r>
          </w:p>
          <w:p>
            <w:pPr>
              <w:pStyle w:val="Normal"/>
              <w:numPr>
                <w:ilvl w:val="0"/>
                <w:numId w:val="6"/>
              </w:numPr>
              <w:rPr/>
            </w:pPr>
            <w:r>
              <w:rPr/>
              <w:t xml:space="preserve">Court action against local pipeline company </w:t>
            </w:r>
            <w:r>
              <w:rPr>
                <w:b/>
                <w:bCs/>
              </w:rPr>
              <w:t>GVS</w:t>
            </w:r>
            <w:r>
              <w:rPr/>
              <w:t xml:space="preserve"> to secure lower payment for transmission fee. Return of approx DM 1.5 mn in overpayment. Settlement likely. </w:t>
            </w:r>
          </w:p>
          <w:p>
            <w:pPr>
              <w:pStyle w:val="Normal"/>
              <w:numPr>
                <w:ilvl w:val="0"/>
                <w:numId w:val="6"/>
              </w:numPr>
              <w:rPr/>
            </w:pPr>
            <w:r>
              <w:rPr/>
              <w:t xml:space="preserve">Denial of pipeline access on the </w:t>
            </w:r>
            <w:r>
              <w:rPr>
                <w:b/>
                <w:bCs/>
              </w:rPr>
              <w:t>TAG</w:t>
            </w:r>
            <w:r>
              <w:rPr/>
              <w:t xml:space="preserve"> pipe in Austria. Regulatory proceeding underway with Ministry to force pipe open. Open TAG up to continue to be able to deliver to Italian customers and possible sales in Austrian market.</w:t>
            </w:r>
          </w:p>
          <w:p>
            <w:pPr>
              <w:pStyle w:val="Normal"/>
              <w:numPr>
                <w:ilvl w:val="0"/>
                <w:numId w:val="6"/>
              </w:numPr>
              <w:rPr/>
            </w:pPr>
            <w:r>
              <w:rPr/>
              <w:t xml:space="preserve">Enron – with Frontier Economics – has developed a new entry/exit gas access model which we are in the process of presenting to a range of decision makers in Germany and Brussels as a far more effective structure for gas access in Germany and a replacement for the existing, highly costly point-to-point regime.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 xml:space="preserve">TPA problems possibly worsened by M&amp;A activity in gas industry. </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 xml:space="preserve">Regulatory Effort (10%) led by Hennemeyer/Haizmann. Intervene in Eon acquisition of Ruhrgas (Project Piece Pipe)at the Federal Cartel Office. Seek significant remedies to force greater and more transparent TPA to German gas networks and possible gas release program – both crucial to building origination and trading activities in Germany.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 xml:space="preserve">Discriminatory Application of Mineral Oil Tax in Germany has imposed costs on Enron’s trade in gas. </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 xml:space="preserve">Jan Haizmann has actively galvanised efforts in the commerical and tax teams to take this matter on and is now working out  a possible arrangement with Ruhrgas that should produce multi-million DM savings for us. </w:t>
            </w:r>
          </w:p>
        </w:tc>
      </w:tr>
    </w:tbl>
    <w:p>
      <w:pPr>
        <w:pStyle w:val="Normal"/>
        <w:rPr/>
      </w:pPr>
      <w:r>
        <w:rPr/>
      </w:r>
    </w:p>
    <w:p>
      <w:pPr>
        <w:pStyle w:val="Normal"/>
        <w:rPr>
          <w:i/>
          <w:i/>
          <w:iCs/>
        </w:rPr>
      </w:pPr>
      <w:r>
        <w:rPr>
          <w:i/>
          <w:iCs/>
        </w:rPr>
      </w:r>
    </w:p>
    <w:p>
      <w:pPr>
        <w:pStyle w:val="Normal"/>
        <w:rPr/>
      </w:pPr>
      <w:r>
        <w:rPr>
          <w:b/>
          <w:bCs/>
          <w:i/>
          <w:iCs/>
        </w:rPr>
        <w:t>Legal Framework</w:t>
      </w:r>
      <w:r>
        <w:rPr/>
        <w:t xml:space="preserve"> </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German energy law is crippled by lack of transposition of EU gas directive, absence of regulated TPA, and weak requirements on unbundling and non-discrimination</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Regulatory Effort – High – 10%</w:t>
            </w:r>
          </w:p>
          <w:p>
            <w:pPr>
              <w:pStyle w:val="Normal"/>
              <w:rPr/>
            </w:pPr>
            <w:r>
              <w:rPr/>
              <w:t>Active lobby effort underway in Berlin to push for material improves in law, including introduction of regulated TPA, legal and management unbundling of networks, and abolition of reciprocity clauses. If successful, should significantly improve framework for energy trading and supply in Germany.</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General public relations effort to raise awareness of problems of energy liberalisation and increase pressure on policy makers.</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Regulatory Effort – 11%</w:t>
            </w:r>
          </w:p>
          <w:p>
            <w:pPr>
              <w:pStyle w:val="Normal"/>
              <w:rPr/>
            </w:pPr>
            <w:r>
              <w:rPr/>
              <w:t>Continue to advance arguments for proper network access, non-discriminatory treatment, and reduction of market power via lobby work, press articles and public speeches, and work through EFET and the establishment of EFET-Germany</w:t>
            </w:r>
          </w:p>
        </w:tc>
      </w:tr>
    </w:tbl>
    <w:p>
      <w:pPr>
        <w:pStyle w:val="Normal"/>
        <w:rPr/>
      </w:pPr>
      <w:r>
        <w:rPr/>
      </w:r>
    </w:p>
    <w:p>
      <w:pPr>
        <w:pStyle w:val="Normal"/>
        <w:rPr/>
      </w:pPr>
      <w:r>
        <w:rPr/>
      </w:r>
    </w:p>
    <w:p>
      <w:pPr>
        <w:pStyle w:val="Normal"/>
        <w:rPr/>
      </w:pPr>
      <w:r>
        <w:rPr/>
      </w:r>
    </w:p>
    <w:p>
      <w:pPr>
        <w:pStyle w:val="BodyText"/>
        <w:rPr/>
      </w:pPr>
      <w:r>
        <w:rPr/>
        <w:object w:dxaOrig="7680" w:dyaOrig="640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68.25pt;height:324pt" filled="f" o:ole="">
            <v:imagedata r:id="rId3" o:title=""/>
          </v:shape>
          <o:OLEObject Type="Embed" ProgID="Excel.Sheet.12" ShapeID="ole_rId2" DrawAspect="Content" ObjectID="_2013420478" r:id="rId2"/>
        </w:object>
      </w:r>
    </w:p>
    <w:p>
      <w:pPr>
        <w:pStyle w:val="BodyText"/>
        <w:rPr/>
      </w:pPr>
      <w:r>
        <w:rPr/>
      </w:r>
    </w:p>
    <w:p>
      <w:pPr>
        <w:pStyle w:val="BodyText"/>
        <w:rPr/>
      </w:pPr>
      <w:r>
        <w:rPr/>
      </w:r>
    </w:p>
    <w:tbl>
      <w:tblPr>
        <w:tblW w:w="4152" w:type="dxa"/>
        <w:jc w:val="start"/>
        <w:tblInd w:w="0" w:type="dxa"/>
        <w:tblLayout w:type="fixed"/>
        <w:tblCellMar>
          <w:top w:w="0" w:type="dxa"/>
          <w:start w:w="0" w:type="dxa"/>
          <w:bottom w:w="0" w:type="dxa"/>
          <w:end w:w="0" w:type="dxa"/>
        </w:tblCellMar>
      </w:tblPr>
      <w:tblGrid>
        <w:gridCol w:w="3176"/>
        <w:gridCol w:w="976"/>
      </w:tblGrid>
      <w:tr>
        <w:trPr>
          <w:trHeight w:val="255" w:hRule="atLeast"/>
        </w:trPr>
        <w:tc>
          <w:tcPr>
            <w:tcW w:w="3176" w:type="dxa"/>
            <w:tcBorders/>
            <w:vAlign w:val="bottom"/>
          </w:tcPr>
          <w:p>
            <w:pPr>
              <w:pStyle w:val="Normal"/>
              <w:rPr>
                <w:rFonts w:ascii="Arial" w:hAnsi="Arial" w:eastAsia="Arial Unicode MS" w:cs="Arial"/>
                <w:b/>
                <w:bCs/>
                <w:sz w:val="20"/>
                <w:szCs w:val="20"/>
              </w:rPr>
            </w:pPr>
            <w:r>
              <w:rPr>
                <w:rFonts w:cs="Arial" w:ascii="Arial" w:hAnsi="Arial"/>
                <w:b/>
                <w:bCs/>
                <w:sz w:val="20"/>
                <w:szCs w:val="20"/>
              </w:rPr>
              <w:t>German Regulatory Activities</w:t>
            </w:r>
          </w:p>
        </w:tc>
        <w:tc>
          <w:tcPr>
            <w:tcW w:w="976" w:type="dxa"/>
            <w:tcBorders/>
            <w:vAlign w:val="bottom"/>
          </w:tcPr>
          <w:p>
            <w:pPr>
              <w:pStyle w:val="Normal"/>
              <w:rPr>
                <w:rFonts w:ascii="Arial" w:hAnsi="Arial" w:cs="Arial"/>
                <w:sz w:val="20"/>
                <w:szCs w:val="20"/>
              </w:rPr>
            </w:pPr>
            <w:r>
              <w:rPr>
                <w:rFonts w:eastAsia="Arial" w:cs="Arial" w:ascii="Arial" w:hAnsi="Arial"/>
                <w:sz w:val="20"/>
                <w:szCs w:val="20"/>
              </w:rPr>
              <w:t xml:space="preserve"> </w:t>
            </w:r>
            <w:r>
              <w:rPr>
                <w:rFonts w:eastAsia="Arial Unicode MS" w:cs="Arial" w:ascii="Arial" w:hAnsi="Arial"/>
                <w:sz w:val="20"/>
                <w:szCs w:val="20"/>
              </w:rPr>
              <w:t>Time</w:t>
            </w:r>
          </w:p>
        </w:tc>
      </w:tr>
      <w:tr>
        <w:trPr>
          <w:trHeight w:val="255" w:hRule="atLeast"/>
        </w:trPr>
        <w:tc>
          <w:tcPr>
            <w:tcW w:w="3176" w:type="dxa"/>
            <w:tcBorders/>
            <w:vAlign w:val="bottom"/>
          </w:tcPr>
          <w:p>
            <w:pPr>
              <w:pStyle w:val="Normal"/>
              <w:rPr>
                <w:rFonts w:ascii="Arial" w:hAnsi="Arial" w:eastAsia="Arial Unicode MS" w:cs="Arial"/>
                <w:sz w:val="20"/>
                <w:szCs w:val="20"/>
              </w:rPr>
            </w:pPr>
            <w:r>
              <w:rPr>
                <w:rFonts w:cs="Arial" w:ascii="Arial" w:hAnsi="Arial"/>
                <w:sz w:val="20"/>
                <w:szCs w:val="20"/>
              </w:rPr>
              <w:t>Interconnectors and Cables</w:t>
            </w:r>
          </w:p>
        </w:tc>
        <w:tc>
          <w:tcPr>
            <w:tcW w:w="976" w:type="dxa"/>
            <w:tcBorders/>
            <w:vAlign w:val="bottom"/>
          </w:tcPr>
          <w:p>
            <w:pPr>
              <w:pStyle w:val="Normal"/>
              <w:jc w:val="end"/>
              <w:rPr>
                <w:rFonts w:ascii="Arial" w:hAnsi="Arial" w:eastAsia="Arial Unicode MS" w:cs="Arial"/>
                <w:sz w:val="20"/>
                <w:szCs w:val="20"/>
              </w:rPr>
            </w:pPr>
            <w:r>
              <w:rPr>
                <w:rFonts w:cs="Arial" w:ascii="Arial" w:hAnsi="Arial"/>
                <w:sz w:val="20"/>
                <w:szCs w:val="20"/>
              </w:rPr>
              <w:t>12%</w:t>
            </w:r>
          </w:p>
        </w:tc>
      </w:tr>
      <w:tr>
        <w:trPr>
          <w:trHeight w:val="255" w:hRule="atLeast"/>
        </w:trPr>
        <w:tc>
          <w:tcPr>
            <w:tcW w:w="3176" w:type="dxa"/>
            <w:tcBorders/>
            <w:vAlign w:val="bottom"/>
          </w:tcPr>
          <w:p>
            <w:pPr>
              <w:pStyle w:val="Normal"/>
              <w:rPr>
                <w:rFonts w:ascii="Arial" w:hAnsi="Arial" w:eastAsia="Arial Unicode MS" w:cs="Arial"/>
                <w:sz w:val="20"/>
                <w:szCs w:val="20"/>
              </w:rPr>
            </w:pPr>
            <w:r>
              <w:rPr>
                <w:rFonts w:cs="Arial" w:ascii="Arial" w:hAnsi="Arial"/>
                <w:sz w:val="20"/>
                <w:szCs w:val="20"/>
              </w:rPr>
              <w:t>Cross Border Fees</w:t>
            </w:r>
          </w:p>
        </w:tc>
        <w:tc>
          <w:tcPr>
            <w:tcW w:w="976" w:type="dxa"/>
            <w:tcBorders/>
            <w:vAlign w:val="bottom"/>
          </w:tcPr>
          <w:p>
            <w:pPr>
              <w:pStyle w:val="Normal"/>
              <w:jc w:val="end"/>
              <w:rPr>
                <w:rFonts w:ascii="Arial" w:hAnsi="Arial" w:eastAsia="Arial Unicode MS" w:cs="Arial"/>
                <w:sz w:val="20"/>
                <w:szCs w:val="20"/>
              </w:rPr>
            </w:pPr>
            <w:r>
              <w:rPr>
                <w:rFonts w:cs="Arial" w:ascii="Arial" w:hAnsi="Arial"/>
                <w:sz w:val="20"/>
                <w:szCs w:val="20"/>
              </w:rPr>
              <w:t>6%</w:t>
            </w:r>
          </w:p>
        </w:tc>
      </w:tr>
      <w:tr>
        <w:trPr>
          <w:trHeight w:val="255" w:hRule="atLeast"/>
        </w:trPr>
        <w:tc>
          <w:tcPr>
            <w:tcW w:w="3176" w:type="dxa"/>
            <w:tcBorders/>
            <w:vAlign w:val="bottom"/>
          </w:tcPr>
          <w:p>
            <w:pPr>
              <w:pStyle w:val="Normal"/>
              <w:rPr>
                <w:rFonts w:ascii="Arial" w:hAnsi="Arial" w:eastAsia="Arial Unicode MS" w:cs="Arial"/>
                <w:sz w:val="20"/>
                <w:szCs w:val="20"/>
              </w:rPr>
            </w:pPr>
            <w:r>
              <w:rPr>
                <w:rFonts w:cs="Arial" w:ascii="Arial" w:hAnsi="Arial"/>
                <w:sz w:val="20"/>
                <w:szCs w:val="20"/>
              </w:rPr>
              <w:t>Reciprocity Clause</w:t>
            </w:r>
          </w:p>
        </w:tc>
        <w:tc>
          <w:tcPr>
            <w:tcW w:w="976" w:type="dxa"/>
            <w:tcBorders/>
            <w:vAlign w:val="bottom"/>
          </w:tcPr>
          <w:p>
            <w:pPr>
              <w:pStyle w:val="Normal"/>
              <w:jc w:val="end"/>
              <w:rPr>
                <w:rFonts w:ascii="Arial" w:hAnsi="Arial" w:eastAsia="Arial Unicode MS" w:cs="Arial"/>
                <w:sz w:val="20"/>
                <w:szCs w:val="20"/>
              </w:rPr>
            </w:pPr>
            <w:r>
              <w:rPr>
                <w:rFonts w:cs="Arial" w:ascii="Arial" w:hAnsi="Arial"/>
                <w:sz w:val="20"/>
                <w:szCs w:val="20"/>
              </w:rPr>
              <w:t>10%</w:t>
            </w:r>
          </w:p>
        </w:tc>
      </w:tr>
      <w:tr>
        <w:trPr>
          <w:trHeight w:val="255" w:hRule="atLeast"/>
        </w:trPr>
        <w:tc>
          <w:tcPr>
            <w:tcW w:w="3176" w:type="dxa"/>
            <w:tcBorders/>
            <w:vAlign w:val="bottom"/>
          </w:tcPr>
          <w:p>
            <w:pPr>
              <w:pStyle w:val="Normal"/>
              <w:rPr>
                <w:rFonts w:ascii="Arial" w:hAnsi="Arial" w:eastAsia="Arial Unicode MS" w:cs="Arial"/>
                <w:sz w:val="20"/>
                <w:szCs w:val="20"/>
              </w:rPr>
            </w:pPr>
            <w:r>
              <w:rPr>
                <w:rFonts w:cs="Arial" w:ascii="Arial" w:hAnsi="Arial"/>
                <w:sz w:val="20"/>
                <w:szCs w:val="20"/>
              </w:rPr>
              <w:t>Intra-Day Trading</w:t>
            </w:r>
          </w:p>
        </w:tc>
        <w:tc>
          <w:tcPr>
            <w:tcW w:w="976" w:type="dxa"/>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r>
        <w:trPr>
          <w:trHeight w:val="255" w:hRule="atLeast"/>
        </w:trPr>
        <w:tc>
          <w:tcPr>
            <w:tcW w:w="3176" w:type="dxa"/>
            <w:tcBorders/>
            <w:vAlign w:val="bottom"/>
          </w:tcPr>
          <w:p>
            <w:pPr>
              <w:pStyle w:val="Normal"/>
              <w:rPr>
                <w:rFonts w:ascii="Arial" w:hAnsi="Arial" w:eastAsia="Arial Unicode MS" w:cs="Arial"/>
                <w:sz w:val="20"/>
                <w:szCs w:val="20"/>
              </w:rPr>
            </w:pPr>
            <w:r>
              <w:rPr>
                <w:rFonts w:cs="Arial" w:ascii="Arial" w:hAnsi="Arial"/>
                <w:sz w:val="20"/>
                <w:szCs w:val="20"/>
              </w:rPr>
              <w:t>Vertical Integration</w:t>
            </w:r>
          </w:p>
        </w:tc>
        <w:tc>
          <w:tcPr>
            <w:tcW w:w="976" w:type="dxa"/>
            <w:tcBorders/>
            <w:vAlign w:val="bottom"/>
          </w:tcPr>
          <w:p>
            <w:pPr>
              <w:pStyle w:val="Normal"/>
              <w:jc w:val="end"/>
              <w:rPr>
                <w:rFonts w:ascii="Arial" w:hAnsi="Arial" w:eastAsia="Arial Unicode MS" w:cs="Arial"/>
                <w:sz w:val="20"/>
                <w:szCs w:val="20"/>
              </w:rPr>
            </w:pPr>
            <w:r>
              <w:rPr>
                <w:rFonts w:cs="Arial" w:ascii="Arial" w:hAnsi="Arial"/>
                <w:sz w:val="20"/>
                <w:szCs w:val="20"/>
              </w:rPr>
              <w:t>6%</w:t>
            </w:r>
          </w:p>
        </w:tc>
      </w:tr>
      <w:tr>
        <w:trPr>
          <w:trHeight w:val="255" w:hRule="atLeast"/>
        </w:trPr>
        <w:tc>
          <w:tcPr>
            <w:tcW w:w="3176" w:type="dxa"/>
            <w:tcBorders/>
            <w:vAlign w:val="bottom"/>
          </w:tcPr>
          <w:p>
            <w:pPr>
              <w:pStyle w:val="Normal"/>
              <w:rPr>
                <w:rFonts w:ascii="Arial" w:hAnsi="Arial" w:eastAsia="Arial Unicode MS" w:cs="Arial"/>
                <w:sz w:val="20"/>
                <w:szCs w:val="20"/>
              </w:rPr>
            </w:pPr>
            <w:r>
              <w:rPr>
                <w:rFonts w:cs="Arial" w:ascii="Arial" w:hAnsi="Arial"/>
                <w:sz w:val="20"/>
                <w:szCs w:val="20"/>
              </w:rPr>
              <w:t>Eon Pressure Program</w:t>
            </w:r>
          </w:p>
        </w:tc>
        <w:tc>
          <w:tcPr>
            <w:tcW w:w="976" w:type="dxa"/>
            <w:tcBorders/>
            <w:vAlign w:val="bottom"/>
          </w:tcPr>
          <w:p>
            <w:pPr>
              <w:pStyle w:val="Normal"/>
              <w:jc w:val="end"/>
              <w:rPr>
                <w:rFonts w:ascii="Arial" w:hAnsi="Arial" w:eastAsia="Arial Unicode MS" w:cs="Arial"/>
                <w:sz w:val="20"/>
                <w:szCs w:val="20"/>
              </w:rPr>
            </w:pPr>
            <w:r>
              <w:rPr>
                <w:rFonts w:cs="Arial" w:ascii="Arial" w:hAnsi="Arial"/>
                <w:sz w:val="20"/>
                <w:szCs w:val="20"/>
              </w:rPr>
              <w:t>9%</w:t>
            </w:r>
          </w:p>
        </w:tc>
      </w:tr>
      <w:tr>
        <w:trPr>
          <w:trHeight w:val="255" w:hRule="atLeast"/>
        </w:trPr>
        <w:tc>
          <w:tcPr>
            <w:tcW w:w="3176" w:type="dxa"/>
            <w:tcBorders/>
            <w:vAlign w:val="bottom"/>
          </w:tcPr>
          <w:p>
            <w:pPr>
              <w:pStyle w:val="Normal"/>
              <w:rPr>
                <w:rFonts w:ascii="Arial" w:hAnsi="Arial" w:eastAsia="Arial Unicode MS" w:cs="Arial"/>
                <w:sz w:val="20"/>
                <w:szCs w:val="20"/>
              </w:rPr>
            </w:pPr>
            <w:r>
              <w:rPr>
                <w:rFonts w:cs="Arial" w:ascii="Arial" w:hAnsi="Arial"/>
                <w:sz w:val="20"/>
                <w:szCs w:val="20"/>
              </w:rPr>
              <w:t xml:space="preserve">Gas Access Cases </w:t>
            </w:r>
          </w:p>
        </w:tc>
        <w:tc>
          <w:tcPr>
            <w:tcW w:w="976" w:type="dxa"/>
            <w:tcBorders/>
            <w:vAlign w:val="bottom"/>
          </w:tcPr>
          <w:p>
            <w:pPr>
              <w:pStyle w:val="Normal"/>
              <w:jc w:val="end"/>
              <w:rPr>
                <w:rFonts w:ascii="Arial" w:hAnsi="Arial" w:eastAsia="Arial Unicode MS" w:cs="Arial"/>
                <w:sz w:val="20"/>
                <w:szCs w:val="20"/>
              </w:rPr>
            </w:pPr>
            <w:r>
              <w:rPr>
                <w:rFonts w:cs="Arial" w:ascii="Arial" w:hAnsi="Arial"/>
                <w:sz w:val="20"/>
                <w:szCs w:val="20"/>
              </w:rPr>
              <w:t>11%</w:t>
            </w:r>
          </w:p>
        </w:tc>
      </w:tr>
      <w:tr>
        <w:trPr>
          <w:trHeight w:val="255" w:hRule="atLeast"/>
        </w:trPr>
        <w:tc>
          <w:tcPr>
            <w:tcW w:w="3176" w:type="dxa"/>
            <w:tcBorders/>
            <w:vAlign w:val="bottom"/>
          </w:tcPr>
          <w:p>
            <w:pPr>
              <w:pStyle w:val="Normal"/>
              <w:rPr>
                <w:rFonts w:ascii="Arial" w:hAnsi="Arial" w:eastAsia="Arial Unicode MS" w:cs="Arial"/>
                <w:sz w:val="20"/>
                <w:szCs w:val="20"/>
              </w:rPr>
            </w:pPr>
            <w:r>
              <w:rPr>
                <w:rFonts w:cs="Arial" w:ascii="Arial" w:hAnsi="Arial"/>
                <w:sz w:val="20"/>
                <w:szCs w:val="20"/>
              </w:rPr>
              <w:t>Gas VV Negotiations</w:t>
            </w:r>
          </w:p>
        </w:tc>
        <w:tc>
          <w:tcPr>
            <w:tcW w:w="976" w:type="dxa"/>
            <w:tcBorders/>
            <w:vAlign w:val="bottom"/>
          </w:tcPr>
          <w:p>
            <w:pPr>
              <w:pStyle w:val="Normal"/>
              <w:jc w:val="end"/>
              <w:rPr>
                <w:rFonts w:ascii="Arial" w:hAnsi="Arial" w:eastAsia="Arial Unicode MS" w:cs="Arial"/>
                <w:sz w:val="20"/>
                <w:szCs w:val="20"/>
              </w:rPr>
            </w:pPr>
            <w:r>
              <w:rPr>
                <w:rFonts w:cs="Arial" w:ascii="Arial" w:hAnsi="Arial"/>
                <w:sz w:val="20"/>
                <w:szCs w:val="20"/>
              </w:rPr>
              <w:t>15%</w:t>
            </w:r>
          </w:p>
        </w:tc>
      </w:tr>
      <w:tr>
        <w:trPr>
          <w:trHeight w:val="255" w:hRule="atLeast"/>
        </w:trPr>
        <w:tc>
          <w:tcPr>
            <w:tcW w:w="3176" w:type="dxa"/>
            <w:tcBorders/>
            <w:vAlign w:val="bottom"/>
          </w:tcPr>
          <w:p>
            <w:pPr>
              <w:pStyle w:val="Normal"/>
              <w:rPr>
                <w:rFonts w:ascii="Arial" w:hAnsi="Arial" w:eastAsia="Arial Unicode MS" w:cs="Arial"/>
                <w:sz w:val="20"/>
                <w:szCs w:val="20"/>
              </w:rPr>
            </w:pPr>
            <w:r>
              <w:rPr>
                <w:rFonts w:cs="Arial" w:ascii="Arial" w:hAnsi="Arial"/>
                <w:sz w:val="20"/>
                <w:szCs w:val="20"/>
              </w:rPr>
              <w:t>Gas Piece Pipe (Eon/Ruhrgas)</w:t>
            </w:r>
          </w:p>
        </w:tc>
        <w:tc>
          <w:tcPr>
            <w:tcW w:w="976" w:type="dxa"/>
            <w:tcBorders/>
            <w:vAlign w:val="bottom"/>
          </w:tcPr>
          <w:p>
            <w:pPr>
              <w:pStyle w:val="Normal"/>
              <w:jc w:val="end"/>
              <w:rPr>
                <w:rFonts w:ascii="Arial" w:hAnsi="Arial" w:eastAsia="Arial Unicode MS" w:cs="Arial"/>
                <w:sz w:val="20"/>
                <w:szCs w:val="20"/>
              </w:rPr>
            </w:pPr>
            <w:r>
              <w:rPr>
                <w:rFonts w:cs="Arial" w:ascii="Arial" w:hAnsi="Arial"/>
                <w:sz w:val="20"/>
                <w:szCs w:val="20"/>
              </w:rPr>
              <w:t>10%</w:t>
            </w:r>
          </w:p>
        </w:tc>
      </w:tr>
      <w:tr>
        <w:trPr>
          <w:trHeight w:val="255" w:hRule="atLeast"/>
        </w:trPr>
        <w:tc>
          <w:tcPr>
            <w:tcW w:w="3176" w:type="dxa"/>
            <w:tcBorders/>
            <w:vAlign w:val="bottom"/>
          </w:tcPr>
          <w:p>
            <w:pPr>
              <w:pStyle w:val="Normal"/>
              <w:rPr>
                <w:rFonts w:ascii="Arial" w:hAnsi="Arial" w:eastAsia="Arial Unicode MS" w:cs="Arial"/>
                <w:sz w:val="20"/>
                <w:szCs w:val="20"/>
              </w:rPr>
            </w:pPr>
            <w:r>
              <w:rPr>
                <w:rFonts w:cs="Arial" w:ascii="Arial" w:hAnsi="Arial"/>
                <w:sz w:val="20"/>
                <w:szCs w:val="20"/>
              </w:rPr>
              <w:t>German Energy Law Revisions</w:t>
            </w:r>
          </w:p>
        </w:tc>
        <w:tc>
          <w:tcPr>
            <w:tcW w:w="976" w:type="dxa"/>
            <w:tcBorders/>
            <w:vAlign w:val="bottom"/>
          </w:tcPr>
          <w:p>
            <w:pPr>
              <w:pStyle w:val="Normal"/>
              <w:jc w:val="end"/>
              <w:rPr>
                <w:rFonts w:ascii="Arial" w:hAnsi="Arial" w:eastAsia="Arial Unicode MS" w:cs="Arial"/>
                <w:sz w:val="20"/>
                <w:szCs w:val="20"/>
              </w:rPr>
            </w:pPr>
            <w:r>
              <w:rPr>
                <w:rFonts w:cs="Arial" w:ascii="Arial" w:hAnsi="Arial"/>
                <w:sz w:val="20"/>
                <w:szCs w:val="20"/>
              </w:rPr>
              <w:t>9%</w:t>
            </w:r>
          </w:p>
        </w:tc>
      </w:tr>
      <w:tr>
        <w:trPr>
          <w:trHeight w:val="255" w:hRule="atLeast"/>
        </w:trPr>
        <w:tc>
          <w:tcPr>
            <w:tcW w:w="3176" w:type="dxa"/>
            <w:tcBorders/>
            <w:vAlign w:val="bottom"/>
          </w:tcPr>
          <w:p>
            <w:pPr>
              <w:pStyle w:val="Normal"/>
              <w:rPr>
                <w:rFonts w:ascii="Arial" w:hAnsi="Arial" w:eastAsia="Arial Unicode MS" w:cs="Arial"/>
                <w:sz w:val="20"/>
                <w:szCs w:val="20"/>
              </w:rPr>
            </w:pPr>
            <w:r>
              <w:rPr>
                <w:rFonts w:cs="Arial" w:ascii="Arial" w:hAnsi="Arial"/>
                <w:sz w:val="20"/>
                <w:szCs w:val="20"/>
              </w:rPr>
              <w:t>PR, Advocacy, EFET-Deutschland</w:t>
            </w:r>
          </w:p>
        </w:tc>
        <w:tc>
          <w:tcPr>
            <w:tcW w:w="976" w:type="dxa"/>
            <w:tcBorders/>
            <w:vAlign w:val="bottom"/>
          </w:tcPr>
          <w:p>
            <w:pPr>
              <w:pStyle w:val="Normal"/>
              <w:jc w:val="end"/>
              <w:rPr>
                <w:rFonts w:ascii="Arial" w:hAnsi="Arial" w:eastAsia="Arial Unicode MS" w:cs="Arial"/>
                <w:sz w:val="20"/>
                <w:szCs w:val="20"/>
              </w:rPr>
            </w:pPr>
            <w:r>
              <w:rPr>
                <w:rFonts w:cs="Arial" w:ascii="Arial" w:hAnsi="Arial"/>
                <w:sz w:val="20"/>
                <w:szCs w:val="20"/>
              </w:rPr>
              <w:t>11%</w:t>
            </w:r>
          </w:p>
        </w:tc>
      </w:tr>
      <w:tr>
        <w:trPr>
          <w:trHeight w:val="255" w:hRule="atLeast"/>
        </w:trPr>
        <w:tc>
          <w:tcPr>
            <w:tcW w:w="31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76"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3176" w:type="dxa"/>
            <w:tcBorders/>
            <w:vAlign w:val="bottom"/>
          </w:tcPr>
          <w:p>
            <w:pPr>
              <w:pStyle w:val="Heading5"/>
              <w:ind w:hanging="0" w:start="0"/>
              <w:rPr/>
            </w:pPr>
            <w:r>
              <w:rPr/>
              <w:t>Total</w:t>
            </w:r>
          </w:p>
        </w:tc>
        <w:tc>
          <w:tcPr>
            <w:tcW w:w="976" w:type="dxa"/>
            <w:tcBorders/>
            <w:vAlign w:val="bottom"/>
          </w:tcPr>
          <w:p>
            <w:pPr>
              <w:pStyle w:val="Normal"/>
              <w:jc w:val="end"/>
              <w:rPr>
                <w:rFonts w:ascii="Arial" w:hAnsi="Arial" w:eastAsia="Arial Unicode MS" w:cs="Arial"/>
                <w:sz w:val="20"/>
                <w:szCs w:val="20"/>
              </w:rPr>
            </w:pPr>
            <w:r>
              <w:rPr>
                <w:rFonts w:cs="Arial" w:ascii="Arial" w:hAnsi="Arial"/>
                <w:sz w:val="20"/>
                <w:szCs w:val="20"/>
              </w:rPr>
              <w:t>100%</w:t>
            </w:r>
          </w:p>
        </w:tc>
      </w:tr>
    </w:tbl>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i/>
          <w:i/>
          <w:iCs/>
        </w:rPr>
      </w:pPr>
      <w:r>
        <w:rPr>
          <w:i/>
          <w:iCs/>
        </w:rPr>
        <w:t xml:space="preserve">IV. Some significant regulatory successes over the last 1.5 years. </w:t>
      </w:r>
    </w:p>
    <w:p>
      <w:pPr>
        <w:pStyle w:val="BodyText"/>
        <w:rPr/>
      </w:pPr>
      <w:r>
        <w:rPr/>
        <w:t>These efforts were either led -  or actively supported  - by Reg Affairs</w:t>
      </w:r>
    </w:p>
    <w:p>
      <w:pPr>
        <w:pStyle w:val="Normal"/>
        <w:rPr/>
      </w:pPr>
      <w:r>
        <w:rPr/>
      </w:r>
    </w:p>
    <w:p>
      <w:pPr>
        <w:pStyle w:val="Normal"/>
        <w:numPr>
          <w:ilvl w:val="0"/>
          <w:numId w:val="5"/>
        </w:numPr>
        <w:rPr/>
      </w:pPr>
      <w:r>
        <w:rPr/>
        <w:t>A balancing market for energy in Germany exists because of Enron’s regulatory efforts. This was imposed as a remedy by the Federal Cartel Office as part of Enron’s intervention in the RWE/VEW merger. Balancing charges are now 80% of their previous level and allow us to now re-enter the full-requirements supply market as well as actively trade in the imbalance market. (signficant; no estimate as yet)</w:t>
      </w:r>
    </w:p>
    <w:p>
      <w:pPr>
        <w:pStyle w:val="Normal"/>
        <w:numPr>
          <w:ilvl w:val="0"/>
          <w:numId w:val="5"/>
        </w:numPr>
        <w:rPr/>
      </w:pPr>
      <w:r>
        <w:rPr/>
        <w:t xml:space="preserve">Significant value was extracted from RWE in the form of reduced cross-border fees and capacity on the Dutch border (value of DM 3 mn+). The concession was in exchange for withdrawal of an appeal launched by Reg Affairs against the Cartel Office decision to approve the RWE/VEW merger which would have delayed  the merger by 12 months. </w:t>
      </w:r>
    </w:p>
    <w:p>
      <w:pPr>
        <w:pStyle w:val="Normal"/>
        <w:numPr>
          <w:ilvl w:val="0"/>
          <w:numId w:val="5"/>
        </w:numPr>
        <w:rPr/>
      </w:pPr>
      <w:r>
        <w:rPr/>
        <w:t>400 MW of Interconnector Capacity was opened on the German/Danish border as a consequence of Enron’s regulatory efforts in the Veba/Viag merger.</w:t>
      </w:r>
    </w:p>
    <w:p>
      <w:pPr>
        <w:pStyle w:val="Normal"/>
        <w:numPr>
          <w:ilvl w:val="0"/>
          <w:numId w:val="5"/>
        </w:numPr>
        <w:rPr/>
      </w:pPr>
      <w:r>
        <w:rPr/>
        <w:t>The failure of the German Government to impose a prohibitive Euros 2/Mwh charge on all cross-border trades is the direct result of Enron initiative. This fee would have been highly damaging to our cross-border power trading business. Enron led several German associations and organised a high level lobbying effort (including with the German Chancellors Office) to lay out the damaging effects of this fee. The Associations withdrew their support and the German Government was unable to advance the proposal with the French and the EU. It was ultimately dropped. (Value of forgone cost: DM 50-100 mn)</w:t>
      </w:r>
    </w:p>
    <w:p>
      <w:pPr>
        <w:pStyle w:val="Normal"/>
        <w:numPr>
          <w:ilvl w:val="0"/>
          <w:numId w:val="5"/>
        </w:numPr>
        <w:rPr/>
      </w:pPr>
      <w:r>
        <w:rPr/>
        <w:t>The first gas access case was achieved following extensive efforts with Bundeskartellamt. Allowed our first deliveries to Heidelberg and Tubingen and served as landmark equivalent to the Ludenscheid case.</w:t>
      </w:r>
    </w:p>
    <w:p>
      <w:pPr>
        <w:pStyle w:val="Normal"/>
        <w:rPr/>
      </w:pPr>
      <w:r>
        <w:rPr/>
      </w:r>
    </w:p>
    <w:p>
      <w:pPr>
        <w:pStyle w:val="Normal"/>
        <w:rPr>
          <w:b/>
          <w:bCs/>
          <w:i/>
          <w:i/>
          <w:iCs/>
        </w:rPr>
      </w:pPr>
      <w:r>
        <w:rPr>
          <w:b/>
          <w:bCs/>
          <w:i/>
          <w:iCs/>
        </w:rPr>
        <w:t>V. Areas not being covered</w:t>
      </w:r>
    </w:p>
    <w:p>
      <w:pPr>
        <w:pStyle w:val="Normal"/>
        <w:rPr>
          <w:b/>
          <w:bCs/>
          <w:i/>
          <w:i/>
          <w:iCs/>
        </w:rPr>
      </w:pPr>
      <w:r>
        <w:rPr>
          <w:b/>
          <w:bCs/>
          <w:i/>
          <w:iCs/>
        </w:rPr>
      </w:r>
    </w:p>
    <w:p>
      <w:pPr>
        <w:pStyle w:val="Normal"/>
        <w:numPr>
          <w:ilvl w:val="0"/>
          <w:numId w:val="2"/>
        </w:numPr>
        <w:rPr>
          <w:b/>
          <w:bCs/>
        </w:rPr>
      </w:pPr>
      <w:r>
        <w:rPr>
          <w:b/>
          <w:bCs/>
        </w:rPr>
        <w:t>Germany</w:t>
      </w:r>
    </w:p>
    <w:p>
      <w:pPr>
        <w:pStyle w:val="Normal"/>
        <w:numPr>
          <w:ilvl w:val="1"/>
          <w:numId w:val="2"/>
        </w:numPr>
        <w:rPr>
          <w:b/>
          <w:bCs/>
        </w:rPr>
      </w:pPr>
      <w:r>
        <w:rPr>
          <w:b/>
          <w:bCs/>
        </w:rPr>
        <w:t xml:space="preserve">CHP programs </w:t>
      </w:r>
    </w:p>
    <w:p>
      <w:pPr>
        <w:pStyle w:val="Normal"/>
        <w:numPr>
          <w:ilvl w:val="1"/>
          <w:numId w:val="2"/>
        </w:numPr>
        <w:rPr>
          <w:b/>
          <w:bCs/>
        </w:rPr>
      </w:pPr>
      <w:r>
        <w:rPr>
          <w:b/>
          <w:bCs/>
        </w:rPr>
        <w:t>Renewables progams</w:t>
      </w:r>
    </w:p>
    <w:p>
      <w:pPr>
        <w:pStyle w:val="Normal"/>
        <w:numPr>
          <w:ilvl w:val="1"/>
          <w:numId w:val="2"/>
        </w:numPr>
        <w:rPr>
          <w:b/>
          <w:bCs/>
        </w:rPr>
      </w:pPr>
      <w:r>
        <w:rPr>
          <w:b/>
          <w:bCs/>
        </w:rPr>
        <w:t>Market monitoring and development of new rules for EEX and LPX</w:t>
      </w:r>
    </w:p>
    <w:p>
      <w:pPr>
        <w:pStyle w:val="Normal"/>
        <w:numPr>
          <w:ilvl w:val="1"/>
          <w:numId w:val="2"/>
        </w:numPr>
        <w:rPr>
          <w:b/>
          <w:bCs/>
        </w:rPr>
      </w:pPr>
      <w:r>
        <w:rPr>
          <w:b/>
          <w:bCs/>
        </w:rPr>
        <w:t>Rapid vertical integration in electricity and gas via purchase of municipal utilities.</w:t>
      </w:r>
    </w:p>
    <w:p>
      <w:pPr>
        <w:pStyle w:val="Normal"/>
        <w:rPr>
          <w:b/>
          <w:bCs/>
        </w:rPr>
      </w:pPr>
      <w:r>
        <w:rPr>
          <w:b/>
          <w:bCs/>
        </w:rPr>
      </w:r>
    </w:p>
    <w:p>
      <w:pPr>
        <w:pStyle w:val="Normal"/>
        <w:numPr>
          <w:ilvl w:val="0"/>
          <w:numId w:val="2"/>
        </w:numPr>
        <w:rPr>
          <w:b/>
          <w:bCs/>
        </w:rPr>
      </w:pPr>
      <w:r>
        <w:rPr>
          <w:b/>
          <w:bCs/>
        </w:rPr>
        <w:t>Austria</w:t>
      </w:r>
    </w:p>
    <w:p>
      <w:pPr>
        <w:pStyle w:val="Normal"/>
        <w:numPr>
          <w:ilvl w:val="1"/>
          <w:numId w:val="2"/>
        </w:numPr>
        <w:rPr>
          <w:b/>
          <w:bCs/>
        </w:rPr>
      </w:pPr>
      <w:r>
        <w:rPr>
          <w:b/>
          <w:bCs/>
        </w:rPr>
        <w:t>Reduced basic monitoring</w:t>
      </w:r>
    </w:p>
    <w:p>
      <w:pPr>
        <w:pStyle w:val="Normal"/>
        <w:numPr>
          <w:ilvl w:val="1"/>
          <w:numId w:val="2"/>
        </w:numPr>
        <w:rPr>
          <w:b/>
          <w:bCs/>
        </w:rPr>
      </w:pPr>
      <w:r>
        <w:rPr>
          <w:b/>
          <w:bCs/>
        </w:rPr>
        <w:t>Renewables programs and labelling</w:t>
      </w:r>
    </w:p>
    <w:p>
      <w:pPr>
        <w:pStyle w:val="Normal"/>
        <w:numPr>
          <w:ilvl w:val="1"/>
          <w:numId w:val="2"/>
        </w:numPr>
        <w:rPr>
          <w:b/>
          <w:bCs/>
        </w:rPr>
      </w:pPr>
      <w:r>
        <w:rPr>
          <w:b/>
          <w:bCs/>
        </w:rPr>
        <w:t>Lobby efforts in lead up to gas law revision</w:t>
      </w:r>
    </w:p>
    <w:p>
      <w:pPr>
        <w:pStyle w:val="Normal"/>
        <w:numPr>
          <w:ilvl w:val="1"/>
          <w:numId w:val="2"/>
        </w:numPr>
        <w:rPr>
          <w:b/>
          <w:bCs/>
        </w:rPr>
      </w:pPr>
      <w:r>
        <w:rPr>
          <w:b/>
          <w:bCs/>
        </w:rPr>
        <w:t>Border problems of imports from non-EU countries into Austria and through Austria</w:t>
      </w:r>
    </w:p>
    <w:p>
      <w:pPr>
        <w:pStyle w:val="Normal"/>
        <w:rPr>
          <w:b/>
          <w:bCs/>
        </w:rPr>
      </w:pPr>
      <w:r>
        <w:rPr>
          <w:b/>
          <w:bCs/>
        </w:rPr>
      </w:r>
    </w:p>
    <w:p>
      <w:pPr>
        <w:pStyle w:val="Normal"/>
        <w:numPr>
          <w:ilvl w:val="0"/>
          <w:numId w:val="2"/>
        </w:numPr>
        <w:rPr>
          <w:b/>
          <w:bCs/>
        </w:rPr>
      </w:pPr>
      <w:r>
        <w:rPr>
          <w:b/>
          <w:bCs/>
        </w:rPr>
        <w:t>Switzerland (in toto)</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If there is interest, Frontier Economics and Enron produced an up-to-date presentation on recent developments in the German energy market that describes these factors in greater detail.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720"/>
        </w:tabs>
        <w:ind w:start="720" w:hanging="360"/>
      </w:pPr>
      <w:rPr/>
    </w:lvl>
  </w:abstractNum>
  <w:abstractNum w:abstractNumId="7">
    <w:lvl w:ilvl="0">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outlineLvl w:val="3"/>
    </w:pPr>
    <w:rPr>
      <w:b/>
      <w:bCs/>
      <w:i/>
      <w:iCs/>
    </w:rPr>
  </w:style>
  <w:style w:type="paragraph" w:styleId="Heading5">
    <w:name w:val="heading 5"/>
    <w:basedOn w:val="Normal"/>
    <w:next w:val="Normal"/>
    <w:qFormat/>
    <w:pPr>
      <w:keepNext w:val="true"/>
      <w:numPr>
        <w:ilvl w:val="4"/>
        <w:numId w:val="1"/>
      </w:numPr>
      <w:outlineLvl w:val="4"/>
    </w:pPr>
    <w:rPr>
      <w:rFonts w:ascii="Arial" w:hAnsi="Arial" w:eastAsia="Arial Unicode MS" w:cs="Arial"/>
      <w:b/>
      <w:bCs/>
      <w:sz w:val="20"/>
      <w:szCs w:val="20"/>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1">
    <w:name w:val="WW8Num4z1"/>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2001-09-24T14:55:00Z</dcterms:created>
  <dc:creator>Hennemezer</dc:creator>
  <dc:description/>
  <dc:language>en-CA</dc:language>
  <cp:lastModifiedBy>Hennemezer</cp:lastModifiedBy>
  <cp:lastPrinted>2001-09-24T15:35:00Z</cp:lastPrinted>
  <dcterms:modified xsi:type="dcterms:W3CDTF">2001-09-24T14:55:00Z</dcterms:modified>
  <cp:revision>2</cp:revision>
  <dc:subject/>
  <dc:title>Germany Regulatory Strategy and On-Going Efforts</dc:title>
</cp:coreProperties>
</file>