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________________________________________________________________________</w:t>
      </w:r>
    </w:p>
    <w:p>
      <w:pPr>
        <w:pStyle w:val="Heading4"/>
        <w:ind w:hanging="0" w:start="0"/>
        <w:rPr/>
      </w:pPr>
      <w:r>
        <w:rPr/>
      </w:r>
    </w:p>
    <w:p>
      <w:pPr>
        <w:pStyle w:val="Heading4"/>
        <w:ind w:hanging="0" w:start="0"/>
        <w:rPr>
          <w:spacing w:val="44"/>
        </w:rPr>
      </w:pPr>
      <w:r>
        <w:rPr>
          <w:spacing w:val="44"/>
        </w:rPr>
        <w:t>MEMORANDUM</w:t>
      </w:r>
    </w:p>
    <w:p>
      <w:pPr>
        <w:pStyle w:val="Normal"/>
        <w:rPr>
          <w:spacing w:val="44"/>
        </w:rPr>
      </w:pPr>
      <w:r>
        <w:rPr>
          <w:spacing w:val="44"/>
        </w:rPr>
      </w:r>
    </w:p>
    <w:p>
      <w:pPr>
        <w:pStyle w:val="Normal"/>
        <w:rPr/>
      </w:pPr>
      <w:r>
        <w:rPr/>
      </w:r>
    </w:p>
    <w:p>
      <w:pPr>
        <w:pStyle w:val="Heading6"/>
        <w:rPr/>
      </w:pPr>
      <w:r>
        <w:rPr>
          <w:b/>
          <w:caps/>
        </w:rPr>
        <w:t>To:</w:t>
      </w:r>
      <w:r>
        <w:rPr>
          <w:b/>
        </w:rPr>
        <w:t xml:space="preserve">  </w:t>
        <w:tab/>
      </w:r>
      <w:r>
        <w:rPr/>
        <w:tab/>
        <w:t>ISDA Board of Directors</w:t>
      </w:r>
    </w:p>
    <w:p>
      <w:pPr>
        <w:pStyle w:val="Normal"/>
        <w:ind w:start="1440" w:end="0"/>
        <w:rPr/>
      </w:pPr>
      <w:r>
        <w:rPr/>
      </w:r>
    </w:p>
    <w:p>
      <w:pPr>
        <w:pStyle w:val="Normal"/>
        <w:ind w:start="1440" w:end="0"/>
        <w:rPr/>
      </w:pPr>
      <w:r>
        <mc:AlternateContent>
          <mc:Choice Requires="wps">
            <w:drawing>
              <wp:anchor behindDoc="0" distT="0" distB="0" distL="114935" distR="114935" simplePos="0" locked="0" layoutInCell="1" allowOverlap="1" relativeHeight="4">
                <wp:simplePos x="0" y="0"/>
                <wp:positionH relativeFrom="column">
                  <wp:posOffset>-457200</wp:posOffset>
                </wp:positionH>
                <wp:positionV relativeFrom="paragraph">
                  <wp:posOffset>5257800</wp:posOffset>
                </wp:positionV>
                <wp:extent cx="6629400" cy="0"/>
                <wp:effectExtent l="0" t="5080" r="0" b="5080"/>
                <wp:wrapNone/>
                <wp:docPr id="1" name=""/>
                <a:graphic xmlns:a="http://schemas.openxmlformats.org/drawingml/2006/main">
                  <a:graphicData uri="http://schemas.microsoft.com/office/word/2010/wordprocessingShape">
                    <wps:wsp>
                      <wps:cNvSpPr/>
                      <wps:spPr>
                        <a:xfrm>
                          <a:off x="0" y="0"/>
                          <a:ext cx="6629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414pt" to="485.95pt,414pt" stroked="t" o:allowincell="f" style="position:absolute">
                <v:stroke color="black" weight="9360" joinstyle="miter" endcap="flat"/>
                <v:fill o:detectmouseclick="t" on="false"/>
                <w10:wrap type="none"/>
              </v:line>
            </w:pict>
          </mc:Fallback>
        </mc:AlternateContent>
      </w:r>
      <w:r>
        <w:rPr>
          <w:b/>
          <w:caps/>
        </w:rPr>
        <w:t>From:</w:t>
      </w:r>
      <w:r>
        <w:rPr>
          <w:b/>
        </w:rPr>
        <w:t xml:space="preserve">  </w:t>
        <w:tab/>
      </w:r>
      <w:r>
        <w:rPr/>
        <w:t>Robert Pickel</w:t>
      </w:r>
    </w:p>
    <w:p>
      <w:pPr>
        <w:pStyle w:val="Normal"/>
        <w:ind w:start="1440" w:end="0"/>
        <w:rPr/>
      </w:pPr>
      <w:r>
        <w:rPr/>
      </w:r>
    </w:p>
    <w:p>
      <w:pPr>
        <w:pStyle w:val="Normal"/>
        <w:ind w:start="1440" w:end="0"/>
        <w:rPr/>
      </w:pPr>
      <w:r>
        <w:rPr>
          <w:b/>
          <w:caps/>
        </w:rPr>
        <w:t>Re:</w:t>
      </w:r>
      <w:r>
        <w:rPr>
          <w:caps/>
        </w:rPr>
        <w:t xml:space="preserve">  </w:t>
        <w:tab/>
      </w:r>
      <w:r>
        <w:rPr/>
        <w:tab/>
        <w:t>Electronic Delivery of ISDA Documentation</w:t>
      </w:r>
    </w:p>
    <w:p>
      <w:pPr>
        <w:pStyle w:val="Normal"/>
        <w:ind w:start="1440" w:end="0"/>
        <w:rPr/>
      </w:pPr>
      <w:r>
        <w:rPr/>
      </w:r>
    </w:p>
    <w:p>
      <w:pPr>
        <w:pStyle w:val="Heading1"/>
        <w:ind w:hanging="0" w:start="1440" w:end="0"/>
        <w:rPr/>
      </w:pPr>
      <w:r>
        <w:rPr>
          <w:b/>
        </w:rPr>
        <w:t>Date:</w:t>
      </w:r>
      <w:r>
        <w:rPr>
          <w:caps w:val="false"/>
          <w:smallCaps w:val="false"/>
        </w:rPr>
        <w:t xml:space="preserve"> </w:t>
        <w:tab/>
        <w:t>May 23, 2000</w:t>
      </w:r>
    </w:p>
    <w:p>
      <w:pPr>
        <w:pStyle w:val="Normal"/>
        <w:rPr>
          <w:caps/>
        </w:rPr>
      </w:pPr>
      <w:r>
        <w:rPr>
          <w:caps/>
        </w:rPr>
      </w:r>
    </w:p>
    <w:p>
      <w:pPr>
        <w:pStyle w:val="Normal"/>
        <w:rPr/>
      </w:pPr>
      <w:r>
        <w:rPr/>
        <w:t>________________________________________________________________________</w:t>
      </w:r>
    </w:p>
    <w:p>
      <w:pPr>
        <w:pStyle w:val="Normal"/>
        <w:rPr/>
      </w:pPr>
      <w:r>
        <w:rPr/>
      </w:r>
    </w:p>
    <w:p>
      <w:pPr>
        <w:pStyle w:val="Normal"/>
        <w:rPr/>
      </w:pPr>
      <w:r>
        <w:rPr/>
        <w:t>The purpose of this memorandum is to provide background for the Board’s discussion of electronic delivery of ISDA documentation, to set forth specific issues for consideration and to make suggestions for the Board’s consideration. After setting forth the goals that could be achieved by providing the documentation electronically, consideration will be given to the nature of the documentation that would be made available, the current status of efforts and possibilities for working with other organizations to provide access to the documentation.</w:t>
      </w:r>
    </w:p>
    <w:p>
      <w:pPr>
        <w:pStyle w:val="Normal"/>
        <w:rPr/>
      </w:pPr>
      <w:r>
        <w:rPr/>
      </w:r>
    </w:p>
    <w:p>
      <w:pPr>
        <w:pStyle w:val="Heading2"/>
        <w:ind w:hanging="0" w:start="0"/>
        <w:rPr/>
      </w:pPr>
      <w:r>
        <w:rPr/>
        <w:t>Goals for Electronic Delivery</w:t>
      </w:r>
    </w:p>
    <w:p>
      <w:pPr>
        <w:pStyle w:val="Normal"/>
        <w:rPr/>
      </w:pPr>
      <w:r>
        <w:rPr/>
      </w:r>
    </w:p>
    <w:p>
      <w:pPr>
        <w:pStyle w:val="BodyText"/>
        <w:rPr/>
      </w:pPr>
      <w:r>
        <w:rPr/>
        <w:t>In considering the appropriate form and scope of electronic delivery, several goals have been identified.</w:t>
      </w:r>
    </w:p>
    <w:p>
      <w:pPr>
        <w:pStyle w:val="Normal"/>
        <w:rPr/>
      </w:pPr>
      <w:r>
        <w:rPr/>
      </w:r>
    </w:p>
    <w:p>
      <w:pPr>
        <w:pStyle w:val="Normal"/>
        <w:numPr>
          <w:ilvl w:val="0"/>
          <w:numId w:val="2"/>
        </w:numPr>
        <w:rPr>
          <w:i/>
          <w:i/>
        </w:rPr>
      </w:pPr>
      <w:r>
        <w:rPr>
          <w:i/>
        </w:rPr>
        <w:t>Maintain and enhance the market acceptance of ISDA documentation.</w:t>
      </w:r>
    </w:p>
    <w:p>
      <w:pPr>
        <w:pStyle w:val="Normal"/>
        <w:rPr>
          <w:i/>
          <w:i/>
        </w:rPr>
      </w:pPr>
      <w:r>
        <w:rPr>
          <w:i/>
        </w:rPr>
      </w:r>
    </w:p>
    <w:p>
      <w:pPr>
        <w:pStyle w:val="BodyTextIndent2"/>
        <w:rPr/>
      </w:pPr>
      <w:r>
        <w:rPr/>
        <w:t>More readily available access to ISDA documentation will facilitate its use by an even broader range of potential users, including end-users, and in other areas of the world through internet access. This greater acceptance and use should lead to enhanced recognition of the benefits of the ISDA library of documentation.</w:t>
      </w:r>
      <w:r>
        <w:br w:type="page"/>
      </w:r>
    </w:p>
    <w:p>
      <w:pPr>
        <w:pStyle w:val="Normal"/>
        <w:ind w:start="720" w:end="0"/>
        <w:rPr/>
      </w:pPr>
      <w:r>
        <w:rPr/>
      </w:r>
    </w:p>
    <w:p>
      <w:pPr>
        <w:pStyle w:val="Normal"/>
        <w:numPr>
          <w:ilvl w:val="0"/>
          <w:numId w:val="2"/>
        </w:numPr>
        <w:rPr>
          <w:i/>
          <w:i/>
        </w:rPr>
      </w:pPr>
      <w:r>
        <w:rPr>
          <w:i/>
        </w:rPr>
        <w:t>Maintain control over integrity, quality and distribution of ISDA documentation</w:t>
      </w:r>
    </w:p>
    <w:p>
      <w:pPr>
        <w:pStyle w:val="Normal"/>
        <w:rPr>
          <w:i/>
          <w:i/>
        </w:rPr>
      </w:pPr>
      <w:r>
        <w:rPr>
          <w:i/>
        </w:rPr>
      </w:r>
    </w:p>
    <w:p>
      <w:pPr>
        <w:pStyle w:val="BodyTextIndent2"/>
        <w:rPr/>
      </w:pPr>
      <w:r>
        <w:rPr/>
        <w:t>It is a given that any means of distribution of ISDA documentation must insure that ISDA, and ISDA alone, is in control of the integrity and quality of its documentation. While consideration can be given to various means of distribution of the documentation, a significant element of control over distribution must be maintained.</w:t>
      </w:r>
    </w:p>
    <w:p>
      <w:pPr>
        <w:pStyle w:val="Normal"/>
        <w:ind w:start="720" w:end="0"/>
        <w:rPr/>
      </w:pPr>
      <w:r>
        <w:rPr/>
      </w:r>
    </w:p>
    <w:p>
      <w:pPr>
        <w:pStyle w:val="Normal"/>
        <w:numPr>
          <w:ilvl w:val="0"/>
          <w:numId w:val="2"/>
        </w:numPr>
        <w:rPr>
          <w:i/>
          <w:i/>
        </w:rPr>
      </w:pPr>
      <w:r>
        <w:rPr>
          <w:i/>
        </w:rPr>
        <w:t>Respond to the needs and demands of ISDA members.</w:t>
      </w:r>
    </w:p>
    <w:p>
      <w:pPr>
        <w:pStyle w:val="Header"/>
        <w:tabs>
          <w:tab w:val="clear" w:pos="4320"/>
          <w:tab w:val="clear" w:pos="8640"/>
        </w:tabs>
        <w:rPr>
          <w:i/>
          <w:i/>
        </w:rPr>
      </w:pPr>
      <w:r>
        <w:rPr>
          <w:i/>
        </w:rPr>
      </w:r>
    </w:p>
    <w:p>
      <w:pPr>
        <w:pStyle w:val="BodyTextIndent2"/>
        <w:rPr/>
      </w:pPr>
      <w:r>
        <w:rPr/>
        <w:t>Members of the Association have increasingly expressed an interest in having electronic copies of ISDA documentation that are currently available only as booklets. In the interest of fulfilling the needs and demands of ISDA members, documents should be made available in electronic form. Electronic form would most likely consist of internet delivery, but could also involve email or CD-ROM delivery of documentation.</w:t>
      </w:r>
    </w:p>
    <w:p>
      <w:pPr>
        <w:pStyle w:val="Normal"/>
        <w:rPr/>
      </w:pPr>
      <w:r>
        <w:rPr/>
      </w:r>
    </w:p>
    <w:p>
      <w:pPr>
        <w:pStyle w:val="Normal"/>
        <w:numPr>
          <w:ilvl w:val="0"/>
          <w:numId w:val="2"/>
        </w:numPr>
        <w:rPr>
          <w:i/>
          <w:i/>
        </w:rPr>
      </w:pPr>
      <w:r>
        <w:rPr>
          <w:i/>
        </w:rPr>
        <w:t>Reduce documentation production costs.</w:t>
      </w:r>
    </w:p>
    <w:p>
      <w:pPr>
        <w:pStyle w:val="Normal"/>
        <w:rPr>
          <w:i/>
          <w:i/>
        </w:rPr>
      </w:pPr>
      <w:r>
        <w:rPr>
          <w:i/>
        </w:rPr>
      </w:r>
    </w:p>
    <w:p>
      <w:pPr>
        <w:pStyle w:val="BodyTextIndent2"/>
        <w:rPr/>
      </w:pPr>
      <w:r>
        <w:rPr/>
        <w:t>The cost of producing ISDA document can be reduced by the implementation of electronic documentation since the cost of distributing electronic versions is much less than the cost involved in producing printed booklets.  If hard copies continue to be made available, smaller quantities would be printed.</w:t>
      </w:r>
    </w:p>
    <w:p>
      <w:pPr>
        <w:pStyle w:val="BodyTextIndent2"/>
        <w:rPr/>
      </w:pPr>
      <w:r>
        <w:rPr/>
      </w:r>
    </w:p>
    <w:p>
      <w:pPr>
        <w:pStyle w:val="BodyTextIndent2"/>
        <w:numPr>
          <w:ilvl w:val="0"/>
          <w:numId w:val="2"/>
        </w:numPr>
        <w:rPr>
          <w:i/>
          <w:i/>
        </w:rPr>
      </w:pPr>
      <w:r>
        <w:rPr>
          <w:i/>
        </w:rPr>
        <w:t>Improve the practical usefulness of ISDA documentation and assist in the understanding of the documentation.</w:t>
      </w:r>
    </w:p>
    <w:p>
      <w:pPr>
        <w:pStyle w:val="BodyTextIndent2"/>
        <w:rPr>
          <w:i/>
          <w:i/>
        </w:rPr>
      </w:pPr>
      <w:r>
        <w:rPr>
          <w:i/>
        </w:rPr>
      </w:r>
    </w:p>
    <w:p>
      <w:pPr>
        <w:pStyle w:val="BodyTextIndent2"/>
        <w:rPr/>
      </w:pPr>
      <w:r>
        <w:rPr/>
        <w:t xml:space="preserve">By providing ISDA documents electronically with navigation features it is hoped that users will find the electronic documentation to be a highly effective reference tool in negotiating and documenting derivatives transactions.  Document navigation will be developed with a view to enhancing the understanding of the documentation. </w:t>
      </w:r>
    </w:p>
    <w:p>
      <w:pPr>
        <w:pStyle w:val="BodyTextIndent2"/>
        <w:rPr/>
      </w:pPr>
      <w:r>
        <w:rPr/>
      </w:r>
    </w:p>
    <w:p>
      <w:pPr>
        <w:pStyle w:val="Normal"/>
        <w:numPr>
          <w:ilvl w:val="0"/>
          <w:numId w:val="2"/>
        </w:numPr>
        <w:rPr>
          <w:i/>
          <w:i/>
        </w:rPr>
      </w:pPr>
      <w:r>
        <w:rPr>
          <w:i/>
        </w:rPr>
        <w:t>Keep abreast of industry technology.</w:t>
      </w:r>
    </w:p>
    <w:p>
      <w:pPr>
        <w:pStyle w:val="BodyTextIndent2"/>
        <w:rPr>
          <w:i/>
          <w:i/>
        </w:rPr>
      </w:pPr>
      <w:r>
        <w:rPr>
          <w:i/>
        </w:rPr>
      </w:r>
    </w:p>
    <w:p>
      <w:pPr>
        <w:pStyle w:val="BodyTextIndent2"/>
        <w:rPr/>
      </w:pPr>
      <w:r>
        <w:rPr/>
        <w:t xml:space="preserve">The financial industry is rapidly moving towards a technology driven environment.  ISDA must keep pace with the industry by offering its documentation in electronic form as a tool to industry participants. </w:t>
      </w:r>
    </w:p>
    <w:p>
      <w:pPr>
        <w:pStyle w:val="BodyTextIndent2"/>
        <w:ind w:start="0" w:end="0"/>
        <w:rPr/>
      </w:pPr>
      <w:r>
        <w:rPr/>
      </w:r>
    </w:p>
    <w:p>
      <w:pPr>
        <w:pStyle w:val="Normal"/>
        <w:numPr>
          <w:ilvl w:val="0"/>
          <w:numId w:val="2"/>
        </w:numPr>
        <w:rPr>
          <w:i/>
          <w:i/>
        </w:rPr>
      </w:pPr>
      <w:r>
        <w:rPr>
          <w:i/>
        </w:rPr>
        <w:t>Protect existing revenue stream and/or develop alternative revenue streams.</w:t>
      </w:r>
    </w:p>
    <w:p>
      <w:pPr>
        <w:pStyle w:val="BodyTextIndent2"/>
        <w:rPr>
          <w:i/>
          <w:i/>
        </w:rPr>
      </w:pPr>
      <w:r>
        <w:rPr>
          <w:i/>
        </w:rPr>
      </w:r>
    </w:p>
    <w:p>
      <w:pPr>
        <w:pStyle w:val="BodyTextIndent2"/>
        <w:rPr/>
      </w:pPr>
      <w:r>
        <w:rPr/>
        <w:t>Publications currently contribute approximately 6% of ISDA revenues. Costs of publications sold in 1999 (principally printing costs) amounted to $100,353.  Over the last three years, publications revenue averaged $616,330, and comparable cost of goods sold averaged $71,300.  (The costs of outside counsel, the principal cost in developing documentation, are included in Committee expenses in ISDA’s financial statements.) Alternative sources of revenue could be developed directly through sales of publications and related products. Although difficult to measure, publications can contribute indirectly to revenue if they are viewed as a member benefit and, hence, a reason to join the Association or if they serve as a topic for conferences.</w:t>
      </w:r>
    </w:p>
    <w:p>
      <w:pPr>
        <w:pStyle w:val="BodyTextIndent2"/>
        <w:rPr/>
      </w:pPr>
      <w:r>
        <w:rPr/>
      </w:r>
    </w:p>
    <w:p>
      <w:pPr>
        <w:pStyle w:val="BodyTextIndent2"/>
        <w:numPr>
          <w:ilvl w:val="0"/>
          <w:numId w:val="2"/>
        </w:numPr>
        <w:rPr>
          <w:i/>
          <w:i/>
        </w:rPr>
      </w:pPr>
      <w:r>
        <w:rPr>
          <w:i/>
        </w:rPr>
        <w:t>Promote access to and cost of ISDA documentation as a member benefit.</w:t>
      </w:r>
    </w:p>
    <w:p>
      <w:pPr>
        <w:pStyle w:val="BodyTextIndent2"/>
        <w:rPr>
          <w:i/>
          <w:i/>
        </w:rPr>
      </w:pPr>
      <w:r>
        <w:rPr>
          <w:i/>
        </w:rPr>
      </w:r>
    </w:p>
    <w:p>
      <w:pPr>
        <w:pStyle w:val="BodyTextIndent2"/>
        <w:rPr/>
      </w:pPr>
      <w:r>
        <w:rPr/>
        <w:t>Currently members receive a benefit because ISDA documentation costs roughly half as much for members as for non-members. (A copy of the current documentation order form is attached.) As electronic versions of the documentation are developed, consideration should be given to identifying some type of benefit for members with respect to documentation.</w:t>
      </w:r>
    </w:p>
    <w:p>
      <w:pPr>
        <w:pStyle w:val="BodyTextIndent2"/>
        <w:rPr/>
      </w:pPr>
      <w:r>
        <w:rPr/>
      </w:r>
    </w:p>
    <w:p>
      <w:pPr>
        <w:pStyle w:val="BodyTextIndent2"/>
        <w:ind w:start="0" w:end="0"/>
        <w:rPr>
          <w:b/>
          <w:u w:val="single"/>
        </w:rPr>
      </w:pPr>
      <w:r>
        <w:rPr>
          <w:b/>
          <w:u w:val="single"/>
        </w:rPr>
        <w:t>Concepts of ISDA Documentation</w:t>
      </w:r>
    </w:p>
    <w:p>
      <w:pPr>
        <w:pStyle w:val="BodyTextIndent2"/>
        <w:ind w:start="0" w:end="0"/>
        <w:rPr/>
      </w:pPr>
      <w:r>
        <w:rPr/>
      </w:r>
    </w:p>
    <w:p>
      <w:pPr>
        <w:pStyle w:val="BodyTextIndent2"/>
        <w:ind w:start="0" w:end="0"/>
        <w:rPr/>
      </w:pPr>
      <w:r>
        <w:rPr/>
        <w:t>In considering how ISDA documentation might be delivered in the future, several concepts of ISDA documentation should be considered:</w:t>
      </w:r>
    </w:p>
    <w:p>
      <w:pPr>
        <w:pStyle w:val="BodyTextIndent2"/>
        <w:ind w:start="0" w:end="0"/>
        <w:rPr/>
      </w:pPr>
      <w:r>
        <w:rPr/>
      </w:r>
    </w:p>
    <w:p>
      <w:pPr>
        <w:pStyle w:val="BodyTextIndent2"/>
        <w:ind w:start="0" w:end="0"/>
        <w:rPr>
          <w:i/>
          <w:i/>
        </w:rPr>
      </w:pPr>
      <w:r>
        <w:rPr>
          <w:i/>
        </w:rPr>
        <w:t>Static Concept</w:t>
      </w:r>
    </w:p>
    <w:p>
      <w:pPr>
        <w:pStyle w:val="BodyTextIndent2"/>
        <w:ind w:start="0" w:end="0"/>
        <w:rPr>
          <w:i/>
          <w:i/>
        </w:rPr>
      </w:pPr>
      <w:r>
        <w:rPr>
          <w:i/>
        </w:rPr>
      </w:r>
    </w:p>
    <w:p>
      <w:pPr>
        <w:pStyle w:val="BodyTextIndent2"/>
        <w:ind w:start="0" w:end="0"/>
        <w:rPr/>
      </w:pPr>
      <w:r>
        <w:rPr/>
        <w:t>One concept of ISDA documentation is as a static set of documents, much as they are now in printed form. Each document is a stand-alone work and there is no ability to modify the document. While User’s Guides and other guidance exist, and there are many cross-references within and between documents, the only way to use the documents together is to flip back and forth between the documents. Electronic documents could be published in static form with no ability to use electronic means to navigate within and between documents. Nevertheless, users could access the document via the internet and print these static documents.</w:t>
      </w:r>
    </w:p>
    <w:p>
      <w:pPr>
        <w:pStyle w:val="BodyTextIndent2"/>
        <w:ind w:start="0" w:end="0"/>
        <w:rPr/>
      </w:pPr>
      <w:r>
        <w:rPr/>
      </w:r>
    </w:p>
    <w:p>
      <w:pPr>
        <w:pStyle w:val="BodyTextIndent2"/>
        <w:ind w:start="0" w:end="0"/>
        <w:rPr>
          <w:i/>
          <w:i/>
        </w:rPr>
      </w:pPr>
      <w:r>
        <w:rPr>
          <w:i/>
        </w:rPr>
        <w:t>Simple Interactive Concept</w:t>
      </w:r>
    </w:p>
    <w:p>
      <w:pPr>
        <w:pStyle w:val="BodyTextIndent2"/>
        <w:ind w:start="0" w:end="0"/>
        <w:rPr>
          <w:i/>
          <w:i/>
        </w:rPr>
      </w:pPr>
      <w:r>
        <w:rPr>
          <w:i/>
        </w:rPr>
      </w:r>
    </w:p>
    <w:p>
      <w:pPr>
        <w:pStyle w:val="BodyTextIndent2"/>
        <w:ind w:start="0" w:end="0"/>
        <w:rPr/>
      </w:pPr>
      <w:r>
        <w:rPr/>
        <w:t>Another concept of ISDA documentation, made possible by the advances in technology, is an interactive set of documents, where navigation within and between documents is facilitated. Given the interrelated nature of ISDA documents, tools such as the PDF format used by Adobe Acrobat and the HTML format (the basis for web browser pages) hold great potential for developing a system of ISDA documentation that will advance its understanding and acceptance. The navigation tools available present an opportunity for developing numerous value-added features to the library of ISDA documentation.</w:t>
      </w:r>
    </w:p>
    <w:p>
      <w:pPr>
        <w:pStyle w:val="BodyTextIndent2"/>
        <w:ind w:start="0" w:end="0"/>
        <w:rPr/>
      </w:pPr>
      <w:r>
        <w:rPr/>
      </w:r>
    </w:p>
    <w:p>
      <w:pPr>
        <w:pStyle w:val="BodyTextIndent2"/>
        <w:ind w:start="0" w:end="0"/>
        <w:rPr/>
      </w:pPr>
      <w:r>
        <w:rPr/>
        <w:t>The simple interactive concept would involve linkages within a document (section reference to full section, use of a defined term to its definition) and between ISDA documents (from section of the Master Agreement to the portion of the User’s Guide that explains the section).  An electronic version of the Master Agreement and User’s Guide is being provided to Board members by email and will also be demonstrated at the Strategic Planning session.</w:t>
      </w:r>
    </w:p>
    <w:p>
      <w:pPr>
        <w:pStyle w:val="BodyTextIndent2"/>
        <w:ind w:start="0" w:end="0"/>
        <w:rPr/>
      </w:pPr>
      <w:r>
        <w:rPr/>
      </w:r>
    </w:p>
    <w:p>
      <w:pPr>
        <w:pStyle w:val="BodyTextIndent2"/>
        <w:ind w:start="0" w:end="0"/>
        <w:rPr>
          <w:i/>
          <w:i/>
        </w:rPr>
      </w:pPr>
      <w:r>
        <w:rPr>
          <w:i/>
        </w:rPr>
        <w:t>Enhanced Interactive Concept</w:t>
      </w:r>
    </w:p>
    <w:p>
      <w:pPr>
        <w:pStyle w:val="BodyTextIndent2"/>
        <w:ind w:start="0" w:end="0"/>
        <w:rPr>
          <w:i/>
          <w:i/>
        </w:rPr>
      </w:pPr>
      <w:r>
        <w:rPr>
          <w:i/>
        </w:rPr>
      </w:r>
    </w:p>
    <w:p>
      <w:pPr>
        <w:pStyle w:val="BodyTextIndent2"/>
        <w:ind w:start="0" w:end="0"/>
        <w:rPr/>
      </w:pPr>
      <w:r>
        <w:rPr/>
        <w:t>Taking the linkage concept farther, links could be provided to other guidance that may exist (from counsel or from another source) or, for members, to the discussion of an issue in one of the netting opinions. Case law or regulatory developments affecting portions of the documentation could also be developed.</w:t>
      </w:r>
    </w:p>
    <w:p>
      <w:pPr>
        <w:pStyle w:val="BodyTextIndent2"/>
        <w:ind w:start="0" w:end="0"/>
        <w:rPr/>
      </w:pPr>
      <w:r>
        <w:rPr/>
      </w:r>
    </w:p>
    <w:p>
      <w:pPr>
        <w:pStyle w:val="BodyTextIndent2"/>
        <w:ind w:start="0" w:end="0"/>
        <w:rPr>
          <w:i/>
          <w:i/>
        </w:rPr>
      </w:pPr>
      <w:r>
        <w:rPr>
          <w:i/>
        </w:rPr>
        <w:t>Additional Use of Technology to Facilitate Use of ISDA Documentation</w:t>
      </w:r>
    </w:p>
    <w:p>
      <w:pPr>
        <w:pStyle w:val="BodyTextIndent2"/>
        <w:ind w:start="0" w:end="0"/>
        <w:rPr>
          <w:i/>
          <w:i/>
        </w:rPr>
      </w:pPr>
      <w:r>
        <w:rPr>
          <w:i/>
        </w:rPr>
      </w:r>
    </w:p>
    <w:p>
      <w:pPr>
        <w:pStyle w:val="BodyTextIndent2"/>
        <w:ind w:start="0" w:end="0"/>
        <w:rPr/>
      </w:pPr>
      <w:r>
        <w:rPr/>
        <w:t>The initial priority for ISDA in the area of electronic delivery of its documentation has been getting the documentation in electronic form and developing interactive tools to facilitate navigation and understanding. Looking into the future, the tools of technology could facilitate the negotiation and execution of bilateral agreements using the ISDA Master Agreement, and there may be viable commercial opportunities for providing this facility. ISDA’s focus in the near term should be on electronic delivery of documentation, but it should monitor the development of these execution facilities.</w:t>
      </w:r>
    </w:p>
    <w:p>
      <w:pPr>
        <w:pStyle w:val="BodyTextIndent2"/>
        <w:ind w:start="0" w:end="0"/>
        <w:rPr/>
      </w:pPr>
      <w:r>
        <w:rPr/>
      </w:r>
    </w:p>
    <w:p>
      <w:pPr>
        <w:pStyle w:val="BodyTextIndent2"/>
        <w:ind w:start="0" w:end="0"/>
        <w:rPr>
          <w:b/>
          <w:u w:val="single"/>
        </w:rPr>
      </w:pPr>
      <w:r>
        <w:rPr>
          <w:b/>
          <w:u w:val="single"/>
        </w:rPr>
        <w:t>Current Status of Efforts</w:t>
      </w:r>
    </w:p>
    <w:p>
      <w:pPr>
        <w:pStyle w:val="BodyTextIndent2"/>
        <w:ind w:start="0" w:end="0"/>
        <w:rPr/>
      </w:pPr>
      <w:r>
        <w:rPr/>
      </w:r>
    </w:p>
    <w:p>
      <w:pPr>
        <w:pStyle w:val="BodyTextIndent2"/>
        <w:ind w:start="0" w:end="0"/>
        <w:rPr/>
      </w:pPr>
      <w:r>
        <w:rPr/>
        <w:t>Over the last several months ISDA has been working with an outside consultant to convert existing print versions of documentation into electronic form. For more recent documents, which we were able to obtain in electronic form from ISDA’s counsel, this has been a relatively straightforward process. For older documents we have had to have documents scanned, run through optical character recognition (OCR) and carefully proofread. We have been incorporating into these electronic versions the simple interactivity described above.</w:t>
      </w:r>
    </w:p>
    <w:p>
      <w:pPr>
        <w:pStyle w:val="BodyTextIndent2"/>
        <w:ind w:start="0" w:end="0"/>
        <w:rPr/>
      </w:pPr>
      <w:r>
        <w:rPr/>
      </w:r>
    </w:p>
    <w:p>
      <w:pPr>
        <w:pStyle w:val="BodyTextIndent2"/>
        <w:ind w:start="0" w:end="0"/>
        <w:rPr/>
      </w:pPr>
      <w:r>
        <w:rPr/>
        <w:t>The result of the processing efforts to date is that all the documents have been scanned and run through OCR. Many documents have been proofread and we expect that process to be completed shortly. The Board should be aware that a careful comparison of the original printed document to the scanned and proofread document may indicate very minor discrepancies of a completely nonsubstantive nature. For example, while line breaks and page breaks are the same in the printed and electronic documents, minor discrepancies in spacing within lines may result in letters not lining up underneath each other in exactly the same way. As a result, when these documents are published electronically, it is recommended that they be labeled “Electronic Version (2000)” so that users of the document will immediately know that they are dealing with the electronic version.</w:t>
      </w:r>
    </w:p>
    <w:p>
      <w:pPr>
        <w:pStyle w:val="BodyTextIndent2"/>
        <w:ind w:start="0" w:end="0"/>
        <w:rPr/>
      </w:pPr>
      <w:r>
        <w:rPr/>
      </w:r>
    </w:p>
    <w:p>
      <w:pPr>
        <w:pStyle w:val="BodyTextIndent2"/>
        <w:ind w:start="0" w:end="0"/>
        <w:rPr>
          <w:b/>
          <w:u w:val="single"/>
        </w:rPr>
      </w:pPr>
      <w:r>
        <w:rPr>
          <w:b/>
          <w:u w:val="single"/>
        </w:rPr>
        <w:t>Proposals for Developing More Interactive ISDA Documentation</w:t>
      </w:r>
    </w:p>
    <w:p>
      <w:pPr>
        <w:pStyle w:val="BodyTextIndent2"/>
        <w:ind w:start="0" w:end="0"/>
        <w:rPr>
          <w:b/>
          <w:u w:val="single"/>
        </w:rPr>
      </w:pPr>
      <w:r>
        <w:rPr>
          <w:b/>
          <w:u w:val="single"/>
        </w:rPr>
      </w:r>
    </w:p>
    <w:p>
      <w:pPr>
        <w:pStyle w:val="BodyTextIndent2"/>
        <w:ind w:start="0" w:end="0"/>
        <w:rPr/>
      </w:pPr>
      <w:r>
        <w:rPr/>
        <w:t>The minimally interactive document does not require an extensive knowledge of ISDA documentation as the links are, for the most part, obvious. Providing more extensive links to a wider range of sources will require a detailed understanding of the ISDA architecture and the infrastructure that supports it. We are aware of at least two endeavors by law firms that are very familiar with ISDA and its documentation, one by Allen &amp; Overy and the other by Mallesons Stephen Jaques, ISDA’s Australian counsel and counsel to the Australian Financial Markets Association.</w:t>
      </w:r>
    </w:p>
    <w:p>
      <w:pPr>
        <w:pStyle w:val="BodyTextIndent2"/>
        <w:ind w:start="0" w:end="0"/>
        <w:rPr/>
      </w:pPr>
      <w:r>
        <w:rPr/>
      </w:r>
      <w:r>
        <w:br w:type="page"/>
      </w:r>
    </w:p>
    <w:p>
      <w:pPr>
        <w:pStyle w:val="BodyTextIndent2"/>
        <w:ind w:start="0" w:end="0"/>
        <w:rPr>
          <w:i/>
          <w:i/>
        </w:rPr>
      </w:pPr>
      <w:r>
        <w:rPr>
          <w:i/>
        </w:rPr>
        <w:t>Allen &amp; Overy</w:t>
      </w:r>
    </w:p>
    <w:p>
      <w:pPr>
        <w:pStyle w:val="BodyTextIndent2"/>
        <w:ind w:start="0" w:end="0"/>
        <w:rPr/>
      </w:pPr>
      <w:r>
        <w:rPr/>
      </w:r>
    </w:p>
    <w:p>
      <w:pPr>
        <w:pStyle w:val="BodyTextIndent2"/>
        <w:ind w:start="0" w:end="0"/>
        <w:rPr/>
      </w:pPr>
      <w:r>
        <w:rPr/>
        <w:t>Allen &amp; Overy has developed prototypes of enhanced interactive versions of ISDA documentation that combine the documents with explanation of provisions, guidance on netting and developments in case law. Their efforts are only preliminary at this stage, but given their extensive knowledge of ISDA documentation, they are well-positioned to provide a useful tool for the use of ISDA documentation. Allen &amp; Overy has demonstrated these prototypes to Rick and to two directors (in their non-ISDA capacity). I will have a chance to review these in detail just prior to the strategic planning session.</w:t>
      </w:r>
    </w:p>
    <w:p>
      <w:pPr>
        <w:pStyle w:val="BodyTextIndent2"/>
        <w:ind w:start="0" w:end="0"/>
        <w:rPr/>
      </w:pPr>
      <w:r>
        <w:rPr/>
      </w:r>
    </w:p>
    <w:p>
      <w:pPr>
        <w:pStyle w:val="BodyTextIndent2"/>
        <w:ind w:start="0" w:end="0"/>
        <w:rPr>
          <w:i/>
          <w:i/>
        </w:rPr>
      </w:pPr>
      <w:r>
        <w:rPr>
          <w:i/>
        </w:rPr>
        <w:t>Mallesons Stephen Jaques</w:t>
      </w:r>
    </w:p>
    <w:p>
      <w:pPr>
        <w:pStyle w:val="BodyTextIndent2"/>
        <w:ind w:start="0" w:end="0"/>
        <w:rPr/>
      </w:pPr>
      <w:r>
        <w:rPr/>
      </w:r>
    </w:p>
    <w:p>
      <w:pPr>
        <w:pStyle w:val="BodyTextIndent2"/>
        <w:ind w:start="0" w:end="0"/>
        <w:rPr/>
      </w:pPr>
      <w:r>
        <w:rPr/>
        <w:t>The Mallesons proposal involves both technical and commercial aspects. Ted Kerr of Mallesons has met with Rick, others on the New York staff and me to present a prototype of a documentation website, and he also met with several directors separately or following the board meeting in Amsterdam. Those who have seen the prototype have been impressed with its technical aspects and ease of navigation.</w:t>
      </w:r>
    </w:p>
    <w:p>
      <w:pPr>
        <w:pStyle w:val="BodyTextIndent2"/>
        <w:ind w:start="0" w:end="0"/>
        <w:rPr/>
      </w:pPr>
      <w:r>
        <w:rPr/>
      </w:r>
    </w:p>
    <w:p>
      <w:pPr>
        <w:pStyle w:val="BodyTextIndent2"/>
        <w:ind w:start="0" w:end="0"/>
        <w:rPr/>
      </w:pPr>
      <w:r>
        <w:rPr/>
        <w:t>The commercial aspects of the Mallesons proposal require further consideration by the Board if it is to be a viable alternative. As conceived by Mallesons, the delivery of the documentation would be done by an entity separate from Mallesons, ISDA and other interested or contributing organizations. Each could be owners of the new entity, but the entity would be separately staffed and run as a separate business. Alternatively, ISDA could license its documentation to the entity on some basis and not be an owner of the new entity.</w:t>
      </w:r>
    </w:p>
    <w:p>
      <w:pPr>
        <w:pStyle w:val="BodyTextIndent2"/>
        <w:ind w:start="0" w:end="0"/>
        <w:rPr/>
      </w:pPr>
      <w:r>
        <w:rPr/>
      </w:r>
    </w:p>
    <w:p>
      <w:pPr>
        <w:pStyle w:val="BodyTextIndent2"/>
        <w:ind w:start="0" w:end="0"/>
        <w:rPr>
          <w:b/>
          <w:u w:val="single"/>
        </w:rPr>
      </w:pPr>
      <w:r>
        <w:rPr>
          <w:b/>
          <w:u w:val="single"/>
        </w:rPr>
        <w:t>Questions for Consideration by the Board</w:t>
      </w:r>
    </w:p>
    <w:p>
      <w:pPr>
        <w:pStyle w:val="BodyTextIndent2"/>
        <w:ind w:start="0" w:end="0"/>
        <w:rPr>
          <w:b/>
          <w:u w:val="single"/>
        </w:rPr>
      </w:pPr>
      <w:r>
        <w:rPr>
          <w:b/>
          <w:u w:val="single"/>
        </w:rPr>
      </w:r>
    </w:p>
    <w:p>
      <w:pPr>
        <w:pStyle w:val="BodyTextIndent2"/>
        <w:ind w:start="0" w:end="0"/>
        <w:rPr/>
      </w:pPr>
      <w:r>
        <w:rPr/>
        <w:t>Among the questions that should be discussed at the strategic planning session are the following:</w:t>
      </w:r>
    </w:p>
    <w:p>
      <w:pPr>
        <w:pStyle w:val="BodyTextIndent2"/>
        <w:ind w:start="0" w:end="0"/>
        <w:rPr/>
      </w:pPr>
      <w:r>
        <w:rPr/>
      </w:r>
    </w:p>
    <w:p>
      <w:pPr>
        <w:pStyle w:val="BodyTextIndent2"/>
        <w:numPr>
          <w:ilvl w:val="0"/>
          <w:numId w:val="3"/>
        </w:numPr>
        <w:tabs>
          <w:tab w:val="clear" w:pos="720"/>
          <w:tab w:val="left" w:pos="1080" w:leader="none"/>
        </w:tabs>
        <w:ind w:hanging="360" w:start="1080" w:end="0"/>
        <w:rPr/>
      </w:pPr>
      <w:r>
        <w:rPr/>
        <w:t>Does ISDA want to make its documentation available in electronic form?</w:t>
      </w:r>
    </w:p>
    <w:p>
      <w:pPr>
        <w:pStyle w:val="BodyTextIndent2"/>
        <w:numPr>
          <w:ilvl w:val="0"/>
          <w:numId w:val="3"/>
        </w:numPr>
        <w:tabs>
          <w:tab w:val="clear" w:pos="720"/>
          <w:tab w:val="left" w:pos="1440" w:leader="none"/>
        </w:tabs>
        <w:ind w:hanging="360" w:start="1440" w:end="0"/>
        <w:rPr/>
      </w:pPr>
      <w:r>
        <w:rPr/>
        <w:t>If so, in what format (internet, email, CD-Rom)?</w:t>
      </w:r>
    </w:p>
    <w:p>
      <w:pPr>
        <w:pStyle w:val="BodyTextIndent2"/>
        <w:rPr/>
      </w:pPr>
      <w:r>
        <w:rPr/>
      </w:r>
    </w:p>
    <w:p>
      <w:pPr>
        <w:pStyle w:val="BodyTextIndent2"/>
        <w:numPr>
          <w:ilvl w:val="0"/>
          <w:numId w:val="6"/>
        </w:numPr>
        <w:tabs>
          <w:tab w:val="clear" w:pos="720"/>
          <w:tab w:val="left" w:pos="1080" w:leader="none"/>
        </w:tabs>
        <w:ind w:hanging="360" w:start="1080" w:end="0"/>
        <w:rPr/>
      </w:pPr>
      <w:r>
        <w:rPr/>
        <w:t>Should any documents be made available free of charge?</w:t>
      </w:r>
    </w:p>
    <w:p>
      <w:pPr>
        <w:pStyle w:val="BodyTextIndent2"/>
        <w:numPr>
          <w:ilvl w:val="0"/>
          <w:numId w:val="6"/>
        </w:numPr>
        <w:tabs>
          <w:tab w:val="clear" w:pos="720"/>
          <w:tab w:val="left" w:pos="1440" w:leader="none"/>
        </w:tabs>
        <w:ind w:hanging="360" w:start="1440" w:end="0"/>
        <w:rPr/>
      </w:pPr>
      <w:r>
        <w:rPr/>
        <w:t>If so:</w:t>
      </w:r>
    </w:p>
    <w:p>
      <w:pPr>
        <w:pStyle w:val="BodyTextIndent2"/>
        <w:numPr>
          <w:ilvl w:val="0"/>
          <w:numId w:val="6"/>
        </w:numPr>
        <w:tabs>
          <w:tab w:val="clear" w:pos="720"/>
          <w:tab w:val="left" w:pos="1800" w:leader="none"/>
        </w:tabs>
        <w:ind w:hanging="360" w:start="1800" w:end="0"/>
        <w:rPr/>
      </w:pPr>
      <w:r>
        <w:rPr/>
        <w:t>Which documents (all or some subset)?</w:t>
      </w:r>
    </w:p>
    <w:p>
      <w:pPr>
        <w:pStyle w:val="BodyTextIndent2"/>
        <w:numPr>
          <w:ilvl w:val="0"/>
          <w:numId w:val="6"/>
        </w:numPr>
        <w:tabs>
          <w:tab w:val="clear" w:pos="720"/>
          <w:tab w:val="left" w:pos="1800" w:leader="none"/>
        </w:tabs>
        <w:ind w:hanging="360" w:start="1800" w:end="0"/>
        <w:rPr/>
      </w:pPr>
      <w:r>
        <w:rPr/>
        <w:t>In what form (static vs. simple interactive)?</w:t>
      </w:r>
    </w:p>
    <w:p>
      <w:pPr>
        <w:pStyle w:val="BodyTextIndent2"/>
        <w:numPr>
          <w:ilvl w:val="0"/>
          <w:numId w:val="6"/>
        </w:numPr>
        <w:tabs>
          <w:tab w:val="clear" w:pos="720"/>
          <w:tab w:val="left" w:pos="1800" w:leader="none"/>
        </w:tabs>
        <w:ind w:hanging="360" w:start="1800" w:end="0"/>
        <w:rPr/>
      </w:pPr>
      <w:r>
        <w:rPr/>
        <w:t>Should there be some differentiation between members and non-members?</w:t>
      </w:r>
    </w:p>
    <w:p>
      <w:pPr>
        <w:pStyle w:val="BodyTextIndent2"/>
        <w:rPr/>
      </w:pPr>
      <w:r>
        <w:rPr/>
      </w:r>
    </w:p>
    <w:p>
      <w:pPr>
        <w:pStyle w:val="BodyTextIndent2"/>
        <w:numPr>
          <w:ilvl w:val="0"/>
          <w:numId w:val="4"/>
        </w:numPr>
        <w:tabs>
          <w:tab w:val="clear" w:pos="720"/>
          <w:tab w:val="left" w:pos="1080" w:leader="none"/>
        </w:tabs>
        <w:ind w:hanging="360" w:start="1080" w:end="0"/>
        <w:rPr/>
      </w:pPr>
      <w:r>
        <w:rPr/>
        <w:t>Does ISDA want to license anyone for use beyond mere access to the documents and preparation of agreements?</w:t>
      </w:r>
    </w:p>
    <w:p>
      <w:pPr>
        <w:pStyle w:val="BodyTextIndent2"/>
        <w:numPr>
          <w:ilvl w:val="0"/>
          <w:numId w:val="4"/>
        </w:numPr>
        <w:tabs>
          <w:tab w:val="clear" w:pos="720"/>
          <w:tab w:val="left" w:pos="1440" w:leader="none"/>
        </w:tabs>
        <w:ind w:hanging="360" w:start="1440" w:end="0"/>
        <w:rPr/>
      </w:pPr>
      <w:r>
        <w:rPr/>
        <w:t>License for inclusion on an intranet?</w:t>
      </w:r>
    </w:p>
    <w:p>
      <w:pPr>
        <w:pStyle w:val="BodyTextIndent2"/>
        <w:numPr>
          <w:ilvl w:val="0"/>
          <w:numId w:val="4"/>
        </w:numPr>
        <w:tabs>
          <w:tab w:val="clear" w:pos="720"/>
          <w:tab w:val="left" w:pos="1440" w:leader="none"/>
        </w:tabs>
        <w:ind w:hanging="360" w:start="1440" w:end="0"/>
        <w:rPr/>
      </w:pPr>
      <w:r>
        <w:rPr/>
        <w:t>License for inclusion on a client-specific site?</w:t>
      </w:r>
    </w:p>
    <w:p>
      <w:pPr>
        <w:pStyle w:val="BodyTextIndent2"/>
        <w:numPr>
          <w:ilvl w:val="0"/>
          <w:numId w:val="4"/>
        </w:numPr>
        <w:tabs>
          <w:tab w:val="clear" w:pos="720"/>
          <w:tab w:val="left" w:pos="1440" w:leader="none"/>
        </w:tabs>
        <w:ind w:hanging="360" w:start="1440" w:end="0"/>
        <w:rPr/>
      </w:pPr>
      <w:r>
        <w:rPr/>
        <w:t>License to developers of enhanced interactive websites (e.g., A&amp;O or Mallesons) or sites to facilitate negotiation and execution?</w:t>
      </w:r>
    </w:p>
    <w:p>
      <w:pPr>
        <w:pStyle w:val="BodyTextIndent2"/>
        <w:rPr/>
      </w:pPr>
      <w:r>
        <w:rPr/>
      </w:r>
    </w:p>
    <w:p>
      <w:pPr>
        <w:pStyle w:val="BodyTextIndent2"/>
        <w:rPr/>
      </w:pPr>
      <w:r>
        <w:rPr/>
      </w:r>
    </w:p>
    <w:p>
      <w:pPr>
        <w:pStyle w:val="BodyTextIndent2"/>
        <w:ind w:start="0" w:end="0"/>
        <w:rPr>
          <w:b/>
        </w:rPr>
      </w:pPr>
      <w:r>
        <w:rPr>
          <w:b/>
          <w:u w:val="single"/>
        </w:rPr>
        <w:t xml:space="preserve">Possible Approach </w:t>
      </w:r>
    </w:p>
    <w:p>
      <w:pPr>
        <w:pStyle w:val="BodyTextIndent2"/>
        <w:ind w:start="0" w:end="0"/>
        <w:rPr>
          <w:b/>
        </w:rPr>
      </w:pPr>
      <w:r>
        <w:rPr>
          <w:b/>
        </w:rPr>
      </w:r>
    </w:p>
    <w:p>
      <w:pPr>
        <w:pStyle w:val="BodyTextIndent2"/>
        <w:ind w:start="0" w:end="0"/>
        <w:rPr/>
      </w:pPr>
      <w:r>
        <w:rPr/>
        <w:t>I have discussed the following suggestions with a group of directors in order to develop a specific approach for the Board’s consideration. The group included Keith Bailey, Diane Genova, Mark Haedicke and Jerry del Missier. These suggestions are made for discussion purposes only.</w:t>
      </w:r>
    </w:p>
    <w:p>
      <w:pPr>
        <w:pStyle w:val="BodyTextIndent2"/>
        <w:ind w:start="0" w:end="0"/>
        <w:rPr/>
      </w:pPr>
      <w:r>
        <w:rPr/>
      </w:r>
    </w:p>
    <w:p>
      <w:pPr>
        <w:pStyle w:val="BodyTextIndent2"/>
        <w:numPr>
          <w:ilvl w:val="0"/>
          <w:numId w:val="7"/>
        </w:numPr>
        <w:tabs>
          <w:tab w:val="clear" w:pos="720"/>
          <w:tab w:val="left" w:pos="1440" w:leader="none"/>
        </w:tabs>
        <w:ind w:hanging="720" w:start="1440" w:end="0"/>
        <w:rPr/>
      </w:pPr>
      <w:r>
        <w:rPr/>
        <w:t xml:space="preserve">Make “static” electronic versions of ISDA documentation available to members free of charge as soon as possible via the ISDA website. A password would be issued to each member to be shared within its organization.  The password would be changed annually. </w:t>
      </w:r>
    </w:p>
    <w:p>
      <w:pPr>
        <w:pStyle w:val="BodyTextIndent2"/>
        <w:rPr/>
      </w:pPr>
      <w:r>
        <w:rPr/>
      </w:r>
    </w:p>
    <w:p>
      <w:pPr>
        <w:pStyle w:val="BodyTextIndent2"/>
        <w:numPr>
          <w:ilvl w:val="0"/>
          <w:numId w:val="7"/>
        </w:numPr>
        <w:tabs>
          <w:tab w:val="clear" w:pos="720"/>
          <w:tab w:val="left" w:pos="1440" w:leader="none"/>
        </w:tabs>
        <w:ind w:hanging="720" w:start="1440" w:end="0"/>
        <w:rPr/>
      </w:pPr>
      <w:r>
        <w:rPr/>
        <w:t>For non-members, provide two types of annual fee-based subscriptions to the “static” electronic versions:</w:t>
      </w:r>
    </w:p>
    <w:p>
      <w:pPr>
        <w:pStyle w:val="BodyTextIndent2"/>
        <w:ind w:start="0" w:end="0"/>
        <w:rPr/>
      </w:pPr>
      <w:r>
        <w:rPr/>
      </w:r>
    </w:p>
    <w:p>
      <w:pPr>
        <w:pStyle w:val="BodyTextIndent2"/>
        <w:numPr>
          <w:ilvl w:val="0"/>
          <w:numId w:val="5"/>
        </w:numPr>
        <w:tabs>
          <w:tab w:val="clear" w:pos="720"/>
          <w:tab w:val="left" w:pos="1800" w:leader="none"/>
        </w:tabs>
        <w:ind w:hanging="360" w:start="1800" w:end="0"/>
        <w:rPr/>
      </w:pPr>
      <w:r>
        <w:rPr/>
        <w:t>Core documents (Master Agreements, credit support documents and related User’s Guide) at one rate.</w:t>
      </w:r>
    </w:p>
    <w:p>
      <w:pPr>
        <w:pStyle w:val="BodyTextIndent2"/>
        <w:numPr>
          <w:ilvl w:val="0"/>
          <w:numId w:val="5"/>
        </w:numPr>
        <w:tabs>
          <w:tab w:val="clear" w:pos="720"/>
          <w:tab w:val="left" w:pos="1800" w:leader="none"/>
        </w:tabs>
        <w:ind w:hanging="360" w:start="1800" w:end="0"/>
        <w:rPr/>
      </w:pPr>
      <w:r>
        <w:rPr/>
        <w:t>Complete library of documents (note: access to legal opinions would still be limited to members) at a higher rate.</w:t>
      </w:r>
    </w:p>
    <w:p>
      <w:pPr>
        <w:pStyle w:val="BodyTextIndent2"/>
        <w:rPr/>
      </w:pPr>
      <w:r>
        <w:rPr/>
      </w:r>
    </w:p>
    <w:p>
      <w:pPr>
        <w:pStyle w:val="BodyTextIndent2"/>
        <w:numPr>
          <w:ilvl w:val="0"/>
          <w:numId w:val="7"/>
        </w:numPr>
        <w:tabs>
          <w:tab w:val="clear" w:pos="720"/>
          <w:tab w:val="left" w:pos="1440" w:leader="none"/>
        </w:tabs>
        <w:ind w:hanging="720" w:start="1440" w:end="0"/>
        <w:rPr/>
      </w:pPr>
      <w:r>
        <w:rPr/>
        <w:t>Provide annual fee-based subscription to the simple interactive version of the entire library of ISDA documentation, distinguishing between members and non-members based on the fee. In addition, provide opportunity to members only to purchase license to put ISDA documentation on an intranet or a site limited to clients of the licensee.</w:t>
      </w:r>
    </w:p>
    <w:p>
      <w:pPr>
        <w:pStyle w:val="BodyTextIndent2"/>
        <w:rPr/>
      </w:pPr>
      <w:r>
        <w:rPr/>
      </w:r>
    </w:p>
    <w:p>
      <w:pPr>
        <w:pStyle w:val="BodyTextIndent2"/>
        <w:numPr>
          <w:ilvl w:val="0"/>
          <w:numId w:val="7"/>
        </w:numPr>
        <w:tabs>
          <w:tab w:val="clear" w:pos="720"/>
          <w:tab w:val="left" w:pos="1440" w:leader="none"/>
        </w:tabs>
        <w:ind w:hanging="720" w:start="1440" w:end="0"/>
        <w:rPr/>
      </w:pPr>
      <w:r>
        <w:rPr/>
        <w:t>Continue to produce, for the time being, hard copies of documents in substantially reduced volumes. Consider publication of the library of ISDA documents on CD-ROM if it is determined that there is a demand for it.</w:t>
      </w:r>
    </w:p>
    <w:p>
      <w:pPr>
        <w:pStyle w:val="BodyTextIndent2"/>
        <w:ind w:start="0" w:end="0"/>
        <w:rPr/>
      </w:pPr>
      <w:r>
        <w:rPr/>
      </w:r>
    </w:p>
    <w:p>
      <w:pPr>
        <w:pStyle w:val="BodyTextIndent2"/>
        <w:numPr>
          <w:ilvl w:val="0"/>
          <w:numId w:val="7"/>
        </w:numPr>
        <w:tabs>
          <w:tab w:val="clear" w:pos="720"/>
          <w:tab w:val="left" w:pos="1440" w:leader="none"/>
        </w:tabs>
        <w:ind w:hanging="720" w:start="1440" w:end="0"/>
        <w:rPr/>
      </w:pPr>
      <w:r>
        <w:rPr/>
        <w:t xml:space="preserve">Consider licensing third-party providers, such as Allen &amp; Overy and Mallesons, that want to develop enhanced interactive versions of ISDA documentation or facilitate generation and execution of agreements. This license would be made available to anyone who can demonstrate a detailed familiarity with ISDA documentation. </w:t>
      </w:r>
    </w:p>
    <w:p>
      <w:pPr>
        <w:pStyle w:val="BodyTextIndent2"/>
        <w:ind w:start="0" w:end="0"/>
        <w:rPr/>
      </w:pPr>
      <w:r>
        <w:rPr/>
      </w:r>
    </w:p>
    <w:p>
      <w:pPr>
        <w:pStyle w:val="BodyTextIndent2"/>
        <w:numPr>
          <w:ilvl w:val="0"/>
          <w:numId w:val="7"/>
        </w:numPr>
        <w:tabs>
          <w:tab w:val="clear" w:pos="720"/>
          <w:tab w:val="left" w:pos="1440" w:leader="none"/>
        </w:tabs>
        <w:ind w:hanging="720" w:start="1440" w:end="0"/>
        <w:rPr/>
      </w:pPr>
      <w:r>
        <w:rPr/>
        <w:t>Coordinate more effectively the production of the full range of ISDA documentation (legal, regulatory, informational and other) among all interested areas (legal, policy and media/public relations).  This coordination would include the technological development (not the substantive development), publication and dissemination of all materials published by the Association and oversight and maintenance of the Association’s website.</w:t>
      </w:r>
    </w:p>
    <w:p>
      <w:pPr>
        <w:pStyle w:val="BodyTextIndent2"/>
        <w:ind w:start="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1" allowOverlap="1" relativeHeight="2">
              <wp:simplePos x="0" y="0"/>
              <wp:positionH relativeFrom="column">
                <wp:posOffset>-685800</wp:posOffset>
              </wp:positionH>
              <wp:positionV relativeFrom="paragraph">
                <wp:posOffset>-464820</wp:posOffset>
              </wp:positionV>
              <wp:extent cx="3383280" cy="640080"/>
              <wp:effectExtent l="0" t="0" r="0" b="0"/>
              <wp:wrapNone/>
              <wp:docPr id="2" name="Frame2"/>
              <a:graphic xmlns:a="http://schemas.openxmlformats.org/drawingml/2006/main">
                <a:graphicData uri="http://schemas.microsoft.com/office/word/2010/wordprocessingShape">
                  <wps:wsp>
                    <wps:cNvSpPr txBox="1"/>
                    <wps:spPr>
                      <a:xfrm>
                        <a:off x="0" y="0"/>
                        <a:ext cx="3383280" cy="640080"/>
                      </a:xfrm>
                      <a:prstGeom prst="rect"/>
                      <a:solidFill>
                        <a:srgbClr val="FFFFFF"/>
                      </a:solidFill>
                    </wps:spPr>
                    <wps:txbx>
                      <w:txbxContent>
                        <w:p>
                          <w:pPr>
                            <w:pStyle w:val="Heading1"/>
                            <w:ind w:hanging="0" w:start="0"/>
                            <w:jc w:val="center"/>
                            <w:rPr>
                              <w:caps w:val="false"/>
                              <w:smallCaps w:val="false"/>
                              <w:sz w:val="20"/>
                            </w:rPr>
                          </w:pPr>
                          <w:r>
                            <w:rPr>
                              <w:caps w:val="false"/>
                              <w:smallCaps w:val="false"/>
                              <w:sz w:val="20"/>
                            </w:rPr>
                            <w:t>LONDON</w:t>
                          </w:r>
                        </w:p>
                        <w:p>
                          <w:pPr>
                            <w:pStyle w:val="Heading1"/>
                            <w:ind w:hanging="0" w:start="0"/>
                            <w:jc w:val="center"/>
                            <w:rPr>
                              <w:caps w:val="false"/>
                              <w:smallCaps w:val="false"/>
                              <w:sz w:val="20"/>
                            </w:rPr>
                          </w:pPr>
                          <w:r>
                            <w:rPr>
                              <w:caps w:val="false"/>
                              <w:smallCaps w:val="false"/>
                              <w:sz w:val="20"/>
                            </w:rPr>
                            <w:t>One New Change – EC4M 9QQ</w:t>
                          </w:r>
                        </w:p>
                        <w:p>
                          <w:pPr>
                            <w:pStyle w:val="Normal"/>
                            <w:jc w:val="center"/>
                            <w:rPr>
                              <w:sz w:val="20"/>
                            </w:rPr>
                          </w:pPr>
                          <w:r>
                            <w:rPr>
                              <w:sz w:val="20"/>
                            </w:rPr>
                            <w:t>Phone: 44-171-330-3550    Facsimile: 44-171-330-3555</w:t>
                          </w:r>
                        </w:p>
                      </w:txbxContent>
                    </wps:txbx>
                    <wps:bodyPr anchor="t" lIns="92075" tIns="46355" rIns="92075" bIns="46355">
                      <a:noAutofit/>
                    </wps:bodyPr>
                  </wps:wsp>
                </a:graphicData>
              </a:graphic>
            </wp:anchor>
          </w:drawing>
        </mc:Choice>
        <mc:Fallback>
          <w:pict>
            <v:rect fillcolor="#FFFFFF" style="position:absolute;rotation:-0;width:266.4pt;height:50.4pt;mso-wrap-distance-left:9.05pt;mso-wrap-distance-right:9.05pt;mso-wrap-distance-top:0pt;mso-wrap-distance-bottom:0pt;margin-top:-36.6pt;mso-position-vertical-relative:text;margin-left:-54pt;mso-position-horizontal-relative:text">
              <v:textbox inset="0.100694444444444in,0.0506944444444444in,0.100694444444444in,0.0506944444444444in">
                <w:txbxContent>
                  <w:p>
                    <w:pPr>
                      <w:pStyle w:val="Heading1"/>
                      <w:ind w:hanging="0" w:start="0"/>
                      <w:jc w:val="center"/>
                      <w:rPr>
                        <w:caps w:val="false"/>
                        <w:smallCaps w:val="false"/>
                        <w:sz w:val="20"/>
                      </w:rPr>
                    </w:pPr>
                    <w:r>
                      <w:rPr>
                        <w:caps w:val="false"/>
                        <w:smallCaps w:val="false"/>
                        <w:sz w:val="20"/>
                      </w:rPr>
                      <w:t>LONDON</w:t>
                    </w:r>
                  </w:p>
                  <w:p>
                    <w:pPr>
                      <w:pStyle w:val="Heading1"/>
                      <w:ind w:hanging="0" w:start="0"/>
                      <w:jc w:val="center"/>
                      <w:rPr>
                        <w:caps w:val="false"/>
                        <w:smallCaps w:val="false"/>
                        <w:sz w:val="20"/>
                      </w:rPr>
                    </w:pPr>
                    <w:r>
                      <w:rPr>
                        <w:caps w:val="false"/>
                        <w:smallCaps w:val="false"/>
                        <w:sz w:val="20"/>
                      </w:rPr>
                      <w:t>One New Change – EC4M 9QQ</w:t>
                    </w:r>
                  </w:p>
                  <w:p>
                    <w:pPr>
                      <w:pStyle w:val="Normal"/>
                      <w:jc w:val="center"/>
                      <w:rPr>
                        <w:sz w:val="20"/>
                      </w:rPr>
                    </w:pPr>
                    <w:r>
                      <w:rPr>
                        <w:sz w:val="20"/>
                      </w:rPr>
                      <w:t>Phone: 44-171-330-3550    Facsimile: 44-171-330-3555</w:t>
                    </w:r>
                  </w:p>
                </w:txbxContent>
              </v:textbox>
              <w10:wrap type="none"/>
            </v:rect>
          </w:pict>
        </mc:Fallback>
      </mc:AlternateContent>
    </w:r>
    <w:r>
      <mc:AlternateContent>
        <mc:Choice Requires="wps">
          <w:drawing>
            <wp:anchor behindDoc="1" distT="0" distB="0" distL="114935" distR="114935" simplePos="0" locked="0" layoutInCell="1" allowOverlap="1" relativeHeight="3">
              <wp:simplePos x="0" y="0"/>
              <wp:positionH relativeFrom="column">
                <wp:posOffset>2788920</wp:posOffset>
              </wp:positionH>
              <wp:positionV relativeFrom="paragraph">
                <wp:posOffset>-464820</wp:posOffset>
              </wp:positionV>
              <wp:extent cx="3017520" cy="800100"/>
              <wp:effectExtent l="0" t="0" r="0" b="0"/>
              <wp:wrapNone/>
              <wp:docPr id="3" name="Frame1"/>
              <a:graphic xmlns:a="http://schemas.openxmlformats.org/drawingml/2006/main">
                <a:graphicData uri="http://schemas.microsoft.com/office/word/2010/wordprocessingShape">
                  <wps:wsp>
                    <wps:cNvSpPr txBox="1"/>
                    <wps:spPr>
                      <a:xfrm>
                        <a:off x="0" y="0"/>
                        <a:ext cx="3017520" cy="800100"/>
                      </a:xfrm>
                      <a:prstGeom prst="rect"/>
                      <a:solidFill>
                        <a:srgbClr val="FFFFFF"/>
                      </a:solidFill>
                    </wps:spPr>
                    <wps:txbx>
                      <w:txbxContent>
                        <w:p>
                          <w:pPr>
                            <w:pStyle w:val="Footer"/>
                            <w:jc w:val="center"/>
                            <w:rPr>
                              <w:sz w:val="20"/>
                            </w:rPr>
                          </w:pPr>
                          <w:r>
                            <w:rPr>
                              <w:sz w:val="20"/>
                            </w:rPr>
                            <w:t>TOKYO</w:t>
                          </w:r>
                        </w:p>
                        <w:p>
                          <w:pPr>
                            <w:pStyle w:val="Footer"/>
                            <w:jc w:val="center"/>
                            <w:rPr>
                              <w:sz w:val="20"/>
                            </w:rPr>
                          </w:pPr>
                          <w:r>
                            <w:rPr>
                              <w:sz w:val="20"/>
                            </w:rPr>
                            <w:t>Chuo Building, 1st Floor</w:t>
                          </w:r>
                        </w:p>
                        <w:p>
                          <w:pPr>
                            <w:pStyle w:val="Footer"/>
                            <w:jc w:val="center"/>
                            <w:rPr>
                              <w:sz w:val="20"/>
                            </w:rPr>
                          </w:pPr>
                          <w:r>
                            <w:rPr>
                              <w:sz w:val="20"/>
                            </w:rPr>
                            <w:t>2-17 Kagurazaka – Shinjuku-ku 162-0825</w:t>
                          </w:r>
                        </w:p>
                        <w:p>
                          <w:pPr>
                            <w:pStyle w:val="Footer"/>
                            <w:jc w:val="center"/>
                            <w:rPr>
                              <w:sz w:val="20"/>
                            </w:rPr>
                          </w:pPr>
                          <w:r>
                            <w:rPr>
                              <w:sz w:val="20"/>
                            </w:rPr>
                            <w:t>Phone: 81-3-5227-3282     Facsimile: 81-3-5227-3283</w:t>
                          </w:r>
                        </w:p>
                        <w:p>
                          <w:pPr>
                            <w:pStyle w:val="Normal"/>
                            <w:rPr>
                              <w:sz w:val="20"/>
                            </w:rPr>
                          </w:pPr>
                          <w:r>
                            <w:rPr>
                              <w:sz w:val="20"/>
                            </w:rPr>
                          </w:r>
                        </w:p>
                      </w:txbxContent>
                    </wps:txbx>
                    <wps:bodyPr anchor="t" lIns="92075" tIns="46355" rIns="92075" bIns="46355">
                      <a:noAutofit/>
                    </wps:bodyPr>
                  </wps:wsp>
                </a:graphicData>
              </a:graphic>
            </wp:anchor>
          </w:drawing>
        </mc:Choice>
        <mc:Fallback>
          <w:pict>
            <v:rect fillcolor="#FFFFFF" style="position:absolute;rotation:-0;width:237.6pt;height:63pt;mso-wrap-distance-left:9.05pt;mso-wrap-distance-right:9.05pt;mso-wrap-distance-top:0pt;mso-wrap-distance-bottom:0pt;margin-top:-36.6pt;mso-position-vertical-relative:text;margin-left:219.6pt;mso-position-horizontal-relative:text">
              <v:textbox inset="0.100694444444444in,0.0506944444444444in,0.100694444444444in,0.0506944444444444in">
                <w:txbxContent>
                  <w:p>
                    <w:pPr>
                      <w:pStyle w:val="Footer"/>
                      <w:jc w:val="center"/>
                      <w:rPr>
                        <w:sz w:val="20"/>
                      </w:rPr>
                    </w:pPr>
                    <w:r>
                      <w:rPr>
                        <w:sz w:val="20"/>
                      </w:rPr>
                      <w:t>TOKYO</w:t>
                    </w:r>
                  </w:p>
                  <w:p>
                    <w:pPr>
                      <w:pStyle w:val="Footer"/>
                      <w:jc w:val="center"/>
                      <w:rPr>
                        <w:sz w:val="20"/>
                      </w:rPr>
                    </w:pPr>
                    <w:r>
                      <w:rPr>
                        <w:sz w:val="20"/>
                      </w:rPr>
                      <w:t>Chuo Building, 1st Floor</w:t>
                    </w:r>
                  </w:p>
                  <w:p>
                    <w:pPr>
                      <w:pStyle w:val="Footer"/>
                      <w:jc w:val="center"/>
                      <w:rPr>
                        <w:sz w:val="20"/>
                      </w:rPr>
                    </w:pPr>
                    <w:r>
                      <w:rPr>
                        <w:sz w:val="20"/>
                      </w:rPr>
                      <w:t>2-17 Kagurazaka – Shinjuku-ku 162-0825</w:t>
                    </w:r>
                  </w:p>
                  <w:p>
                    <w:pPr>
                      <w:pStyle w:val="Footer"/>
                      <w:jc w:val="center"/>
                      <w:rPr>
                        <w:sz w:val="20"/>
                      </w:rPr>
                    </w:pPr>
                    <w:r>
                      <w:rPr>
                        <w:sz w:val="20"/>
                      </w:rPr>
                      <w:t>Phone: 81-3-5227-3282     Facsimile: 81-3-5227-3283</w:t>
                    </w:r>
                  </w:p>
                  <w:p>
                    <w:pPr>
                      <w:pStyle w:val="Normal"/>
                      <w:rPr>
                        <w:sz w:val="20"/>
                      </w:rPr>
                    </w:pPr>
                    <w:r>
                      <w:rPr>
                        <w:sz w:val="20"/>
                      </w:rPr>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96"/>
      </w:rPr>
      <w:t>ISDA</w:t>
    </w:r>
    <w:r>
      <w:rPr>
        <w:b/>
      </w:rPr>
      <w:t xml:space="preserve"> </w:t>
    </w:r>
    <w:r>
      <w:rPr>
        <w:sz w:val="20"/>
      </w:rPr>
      <w:t>International Swaps and Derivatives Association, Inc.</w:t>
    </w:r>
  </w:p>
  <w:p>
    <w:pPr>
      <w:pStyle w:val="Header"/>
      <w:rPr>
        <w:sz w:val="20"/>
      </w:rPr>
    </w:pPr>
    <w:r>
      <w:rPr>
        <w:sz w:val="20"/>
      </w:rPr>
      <w:t>600 Fifth Avenue, 27th Floor</w:t>
    </w:r>
  </w:p>
  <w:p>
    <w:pPr>
      <w:pStyle w:val="Header"/>
      <w:rPr>
        <w:sz w:val="20"/>
      </w:rPr>
    </w:pPr>
    <w:r>
      <w:rPr>
        <w:sz w:val="20"/>
      </w:rPr>
      <w:t>Rockefeller Center</w:t>
    </w:r>
  </w:p>
  <w:p>
    <w:pPr>
      <w:pStyle w:val="Header"/>
      <w:rPr>
        <w:sz w:val="20"/>
      </w:rPr>
    </w:pPr>
    <w:r>
      <w:rPr>
        <w:sz w:val="20"/>
      </w:rPr>
      <w:t>New York, NY 10020-2302</w:t>
    </w:r>
  </w:p>
  <w:p>
    <w:pPr>
      <w:pStyle w:val="Header"/>
      <w:rPr>
        <w:sz w:val="20"/>
      </w:rPr>
    </w:pPr>
    <w:r>
      <w:rPr>
        <w:sz w:val="20"/>
      </w:rPr>
      <w:t>Telephone: (212) 332-1200</w:t>
    </w:r>
  </w:p>
  <w:p>
    <w:pPr>
      <w:pStyle w:val="Header"/>
      <w:rPr>
        <w:sz w:val="20"/>
      </w:rPr>
    </w:pPr>
    <w:r>
      <w:rPr>
        <w:sz w:val="20"/>
      </w:rPr>
      <w:t>Facsimile: (212) 332-1212</w:t>
    </w:r>
  </w:p>
  <w:p>
    <w:pPr>
      <w:pStyle w:val="Header"/>
      <w:rPr>
        <w:sz w:val="20"/>
      </w:rPr>
    </w:pPr>
    <w:r>
      <w:rPr>
        <w:sz w:val="20"/>
      </w:rPr>
      <w:t>email: isda@isda.org</w:t>
    </w:r>
  </w:p>
  <w:p>
    <w:pPr>
      <w:pStyle w:val="Header"/>
      <w:rPr>
        <w:sz w:val="20"/>
      </w:rPr>
    </w:pPr>
    <w:r>
      <w:rPr>
        <w:sz w:val="20"/>
      </w:rPr>
      <w:t>website: www.isda.org</w:t>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caps/>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tabs>
        <w:tab w:val="clear" w:pos="720"/>
        <w:tab w:val="left" w:pos="0" w:leader="none"/>
      </w:tabs>
      <w:suppressAutoHyphens w:val="true"/>
      <w:outlineLvl w:val="2"/>
    </w:pPr>
    <w:rPr>
      <w:b/>
      <w:spacing w:val="-2"/>
      <w:sz w:val="20"/>
    </w:rPr>
  </w:style>
  <w:style w:type="paragraph" w:styleId="Heading4">
    <w:name w:val="heading 4"/>
    <w:basedOn w:val="Normal"/>
    <w:next w:val="Normal"/>
    <w:qFormat/>
    <w:pPr>
      <w:keepNext w:val="true"/>
      <w:numPr>
        <w:ilvl w:val="3"/>
        <w:numId w:val="1"/>
      </w:numPr>
      <w:jc w:val="center"/>
      <w:outlineLvl w:val="3"/>
    </w:pPr>
    <w:rPr>
      <w:b/>
    </w:rPr>
  </w:style>
  <w:style w:type="paragraph" w:styleId="Heading6">
    <w:name w:val="heading 6"/>
    <w:basedOn w:val="Normal"/>
    <w:next w:val="Normal"/>
    <w:qFormat/>
    <w:pPr>
      <w:keepNext w:val="true"/>
      <w:numPr>
        <w:ilvl w:val="5"/>
        <w:numId w:val="1"/>
      </w:numPr>
      <w:ind w:hanging="0" w:start="1440" w:end="0"/>
      <w:outlineLvl w:val="5"/>
    </w:pPr>
    <w:rPr/>
  </w:style>
  <w:style w:type="character" w:styleId="WW8Num1z0">
    <w:name w:val="WW8Num1z0"/>
    <w:qFormat/>
    <w:rPr/>
  </w:style>
  <w:style w:type="character" w:styleId="WW8Num3z0">
    <w:name w:val="WW8Num3z0"/>
    <w:qFormat/>
    <w:rPr/>
  </w:style>
  <w:style w:type="character" w:styleId="WW8Num7z0">
    <w:name w:val="WW8Num7z0"/>
    <w:qFormat/>
    <w:rPr/>
  </w:style>
  <w:style w:type="character" w:styleId="WW8Num9z0">
    <w:name w:val="WW8Num9z0"/>
    <w:qFormat/>
    <w:rPr>
      <w:rFonts w:ascii="Symbol" w:hAnsi="Symbol" w:cs="Symbol"/>
    </w:rPr>
  </w:style>
  <w:style w:type="character" w:styleId="WW8Num11z0">
    <w:name w:val="WW8Num11z0"/>
    <w:qFormat/>
    <w:rPr/>
  </w:style>
  <w:style w:type="character" w:styleId="WW8Num13z0">
    <w:name w:val="WW8Num13z0"/>
    <w:qFormat/>
    <w:rPr>
      <w:rFonts w:ascii="Symbol" w:hAnsi="Symbol" w:cs="Symbol"/>
    </w:rPr>
  </w:style>
  <w:style w:type="character" w:styleId="WW8Num16z0">
    <w:name w:val="WW8Num16z0"/>
    <w:qFormat/>
    <w:rPr/>
  </w:style>
  <w:style w:type="character" w:styleId="WW8Num19z0">
    <w:name w:val="WW8Num19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2000-05-23T18:11:00Z</dcterms:created>
  <dc:creator>Robert Pickel</dc:creator>
  <dc:description/>
  <dc:language>en-CA</dc:language>
  <cp:lastModifiedBy>Corrinne Greasley</cp:lastModifiedBy>
  <cp:lastPrinted>2000-05-23T09:28:00Z</cp:lastPrinted>
  <dcterms:modified xsi:type="dcterms:W3CDTF">2000-05-23T18:11:00Z</dcterms:modified>
  <cp:revision>2</cp:revision>
  <dc:subject/>
  <dc:title>The purpose of this memorandum is to provide background for a Board-level discussion of electronic delivery of ISDA documentation</dc:title>
</cp:coreProperties>
</file>