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spacing w:val="200"/>
          <w:lang w:val="en-CA"/>
        </w:rPr>
      </w:pPr>
      <w:r>
        <w:rPr>
          <w:spacing w:val="200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0"/>
                <wp:effectExtent l="0" t="5080" r="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stroked="t" o:allowincell="f" style="position:absolute">
                <v:stroke color="black" weight="9360" joinstyle="miter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widowControl w:val="false"/>
        <w:jc w:val="center"/>
        <w:rPr>
          <w:b/>
          <w:caps/>
          <w:spacing w:val="200"/>
        </w:rPr>
      </w:pPr>
      <w:r>
        <w:rPr>
          <w:b/>
          <w:caps/>
          <w:spacing w:val="200"/>
        </w:rPr>
        <w:t>Memorandum</w:t>
      </w:r>
    </w:p>
    <w:p>
      <w:pPr>
        <w:pStyle w:val="Normal"/>
        <w:widowControl w:val="false"/>
        <w:rPr>
          <w:b/>
          <w:caps/>
          <w:spacing w:val="200"/>
        </w:rPr>
      </w:pPr>
      <w:r>
        <w:rPr>
          <w:b/>
          <w:caps/>
          <w:spacing w:val="200"/>
        </w:rPr>
      </w:r>
    </w:p>
    <w:p>
      <w:pPr>
        <w:pStyle w:val="Normal"/>
        <w:widowControl w:val="false"/>
        <w:rPr/>
      </w:pPr>
      <w:r>
        <w:rPr>
          <w:b/>
          <w:caps/>
        </w:rPr>
        <w:t>To:</w:t>
      </w:r>
      <w:r>
        <w:rPr>
          <w:caps/>
        </w:rPr>
        <w:tab/>
      </w:r>
      <w:r>
        <w:rPr/>
        <w:tab/>
        <w:t>MARK HAEDICKE</w:t>
      </w:r>
    </w:p>
    <w:p>
      <w:pPr>
        <w:pStyle w:val="Normal"/>
        <w:widowControl w:val="false"/>
        <w:rPr/>
      </w:pPr>
      <w:r>
        <w:rPr>
          <w:b/>
        </w:rPr>
        <w:t>FROM:</w:t>
      </w:r>
      <w:r>
        <w:rPr/>
        <w:tab/>
        <w:t>STACY CAREY</w:t>
      </w:r>
    </w:p>
    <w:p>
      <w:pPr>
        <w:pStyle w:val="Normal"/>
        <w:widowControl w:val="false"/>
        <w:rPr/>
      </w:pPr>
      <w:r>
        <w:rPr>
          <w:b/>
          <w:caps/>
        </w:rPr>
        <w:t>Date:</w:t>
      </w:r>
      <w:r>
        <w:rPr>
          <w:caps/>
        </w:rPr>
        <w:tab/>
        <w:t>May 10, 2001</w:t>
      </w:r>
    </w:p>
    <w:p>
      <w:pPr>
        <w:pStyle w:val="Normal"/>
        <w:widowControl w:val="false"/>
        <w:rPr/>
      </w:pPr>
      <w:r>
        <w:rPr>
          <w:b/>
          <w:caps/>
        </w:rPr>
        <w:t>Re:</w:t>
      </w:r>
      <w:r>
        <w:rPr>
          <w:caps/>
        </w:rPr>
        <w:tab/>
        <w:tab/>
        <w:t>NA Energy and Developing Products COMMITTEE</w:t>
      </w:r>
    </w:p>
    <w:p>
      <w:pPr>
        <w:pStyle w:val="Normal"/>
        <w:widowControl w:val="false"/>
        <w:rPr>
          <w:caps/>
        </w:rPr>
      </w:pPr>
      <w:r>
        <w:rPr>
          <w:caps/>
        </w:rPr>
      </w:r>
    </w:p>
    <w:p>
      <w:pPr>
        <w:pStyle w:val="Normal"/>
        <w:widowControl w:val="false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0"/>
                <wp:effectExtent l="0" t="5080" r="0" b="508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stroked="t" o:allowincell="f" style="position:absolute">
                <v:stroke color="black" weight="9360" joinstyle="miter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ab/>
        <w:t xml:space="preserve">GOAL:  </w:t>
      </w:r>
    </w:p>
    <w:p>
      <w:pPr>
        <w:pStyle w:val="BodyTextIndent"/>
        <w:rPr/>
      </w:pPr>
      <w:r>
        <w:rPr/>
        <w:t xml:space="preserve">This committee focuses on facilitating and addressing issues (ranging from documentation to market practice) related to the prudent development of the range of energy and developing product derivative transactions.  </w:t>
      </w:r>
    </w:p>
    <w:p>
      <w:pPr>
        <w:pStyle w:val="Header"/>
        <w:widowControl w:val="false"/>
        <w:tabs>
          <w:tab w:val="clear" w:pos="4320"/>
          <w:tab w:val="clear" w:pos="8640"/>
        </w:tabs>
        <w:rPr>
          <w:b/>
        </w:rPr>
      </w:pPr>
      <w:r>
        <w:rPr>
          <w:b/>
        </w:rPr>
        <w:tab/>
        <w:t>ISSUES</w:t>
      </w:r>
    </w:p>
    <w:p>
      <w:pPr>
        <w:pStyle w:val="Header"/>
        <w:widowControl w:val="false"/>
        <w:numPr>
          <w:ilvl w:val="0"/>
          <w:numId w:val="8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b/>
          <w:i/>
          <w:i/>
        </w:rPr>
      </w:pPr>
      <w:r>
        <w:rPr>
          <w:b/>
          <w:i/>
        </w:rPr>
        <w:t>Documentation</w:t>
      </w:r>
    </w:p>
    <w:p>
      <w:pPr>
        <w:pStyle w:val="Header"/>
        <w:widowControl w:val="false"/>
        <w:numPr>
          <w:ilvl w:val="0"/>
          <w:numId w:val="8"/>
        </w:numPr>
        <w:tabs>
          <w:tab w:val="clear" w:pos="4320"/>
          <w:tab w:val="clear" w:pos="8640"/>
          <w:tab w:val="left" w:pos="2160" w:leader="none"/>
        </w:tabs>
        <w:ind w:hanging="360" w:start="2160" w:end="0"/>
        <w:rPr/>
      </w:pPr>
      <w:r>
        <w:rPr/>
        <w:t>reconciling master agreements (based on Elizabeth Sager’s work)</w:t>
      </w:r>
    </w:p>
    <w:p>
      <w:pPr>
        <w:pStyle w:val="Header"/>
        <w:widowControl w:val="false"/>
        <w:numPr>
          <w:ilvl w:val="0"/>
          <w:numId w:val="8"/>
        </w:numPr>
        <w:tabs>
          <w:tab w:val="clear" w:pos="4320"/>
          <w:tab w:val="clear" w:pos="8640"/>
          <w:tab w:val="left" w:pos="2160" w:leader="none"/>
        </w:tabs>
        <w:ind w:hanging="360" w:start="2160" w:end="0"/>
        <w:rPr/>
      </w:pPr>
      <w:r>
        <w:rPr/>
        <w:t>update ISDA Commodity Derivatives Definitions</w:t>
      </w:r>
    </w:p>
    <w:p>
      <w:pPr>
        <w:pStyle w:val="Header"/>
        <w:widowControl w:val="false"/>
        <w:numPr>
          <w:ilvl w:val="0"/>
          <w:numId w:val="6"/>
        </w:numPr>
        <w:tabs>
          <w:tab w:val="clear" w:pos="4320"/>
          <w:tab w:val="clear" w:pos="8640"/>
          <w:tab w:val="left" w:pos="1800" w:leader="none"/>
          <w:tab w:val="left" w:pos="3960" w:leader="none"/>
        </w:tabs>
        <w:ind w:hanging="360" w:start="1800" w:end="0"/>
        <w:rPr>
          <w:b/>
          <w:i/>
          <w:i/>
        </w:rPr>
      </w:pPr>
      <w:r>
        <w:rPr>
          <w:b/>
          <w:i/>
        </w:rPr>
        <w:t>Regulatory</w:t>
      </w:r>
    </w:p>
    <w:p>
      <w:pPr>
        <w:pStyle w:val="Header"/>
        <w:widowControl w:val="false"/>
        <w:numPr>
          <w:ilvl w:val="0"/>
          <w:numId w:val="6"/>
        </w:numPr>
        <w:tabs>
          <w:tab w:val="clear" w:pos="4320"/>
          <w:tab w:val="clear" w:pos="8640"/>
          <w:tab w:val="left" w:pos="2160" w:leader="none"/>
          <w:tab w:val="left" w:pos="3960" w:leader="none"/>
        </w:tabs>
        <w:ind w:hanging="360" w:start="2160" w:end="0"/>
        <w:rPr/>
      </w:pPr>
      <w:r>
        <w:rPr/>
        <w:t>risk management – (Credit Risk/Market Risk)</w:t>
      </w:r>
    </w:p>
    <w:p>
      <w:pPr>
        <w:pStyle w:val="Header"/>
        <w:widowControl w:val="false"/>
        <w:numPr>
          <w:ilvl w:val="0"/>
          <w:numId w:val="8"/>
        </w:numPr>
        <w:tabs>
          <w:tab w:val="clear" w:pos="4320"/>
          <w:tab w:val="clear" w:pos="8640"/>
          <w:tab w:val="left" w:pos="2160" w:leader="none"/>
          <w:tab w:val="left" w:pos="3960" w:leader="none"/>
        </w:tabs>
        <w:ind w:hanging="360" w:start="2160" w:end="0"/>
        <w:rPr/>
      </w:pPr>
      <w:r>
        <w:rPr/>
        <w:t>tax – hedging regulations</w:t>
      </w:r>
    </w:p>
    <w:p>
      <w:pPr>
        <w:pStyle w:val="Header"/>
        <w:widowControl w:val="false"/>
        <w:numPr>
          <w:ilvl w:val="0"/>
          <w:numId w:val="8"/>
        </w:numPr>
        <w:tabs>
          <w:tab w:val="clear" w:pos="4320"/>
          <w:tab w:val="clear" w:pos="8640"/>
          <w:tab w:val="left" w:pos="2160" w:leader="none"/>
          <w:tab w:val="left" w:pos="3960" w:leader="none"/>
        </w:tabs>
        <w:ind w:hanging="360" w:start="2160" w:end="0"/>
        <w:rPr/>
      </w:pPr>
      <w:r>
        <w:rPr/>
        <w:t>electronic trading</w:t>
      </w:r>
    </w:p>
    <w:p>
      <w:pPr>
        <w:pStyle w:val="Header"/>
        <w:widowControl w:val="false"/>
        <w:numPr>
          <w:ilvl w:val="0"/>
          <w:numId w:val="8"/>
        </w:numPr>
        <w:tabs>
          <w:tab w:val="clear" w:pos="4320"/>
          <w:tab w:val="clear" w:pos="8640"/>
          <w:tab w:val="left" w:pos="1800" w:leader="none"/>
          <w:tab w:val="left" w:pos="3960" w:leader="none"/>
        </w:tabs>
        <w:ind w:hanging="360" w:start="1800" w:end="0"/>
        <w:rPr>
          <w:b/>
          <w:i/>
          <w:i/>
        </w:rPr>
      </w:pPr>
      <w:r>
        <w:rPr>
          <w:b/>
          <w:i/>
        </w:rPr>
        <w:t>Market Practice</w:t>
      </w:r>
    </w:p>
    <w:p>
      <w:pPr>
        <w:pStyle w:val="Header"/>
        <w:widowControl w:val="false"/>
        <w:numPr>
          <w:ilvl w:val="0"/>
          <w:numId w:val="8"/>
        </w:numPr>
        <w:tabs>
          <w:tab w:val="clear" w:pos="4320"/>
          <w:tab w:val="clear" w:pos="8640"/>
          <w:tab w:val="left" w:pos="2160" w:leader="none"/>
          <w:tab w:val="left" w:pos="3960" w:leader="none"/>
        </w:tabs>
        <w:ind w:hanging="360" w:start="2160" w:end="0"/>
        <w:rPr/>
      </w:pPr>
      <w:r>
        <w:rPr/>
        <w:t>product development &amp; related market practice standards</w:t>
      </w:r>
    </w:p>
    <w:p>
      <w:pPr>
        <w:pStyle w:val="Header"/>
        <w:widowControl w:val="false"/>
        <w:numPr>
          <w:ilvl w:val="0"/>
          <w:numId w:val="3"/>
        </w:numPr>
        <w:tabs>
          <w:tab w:val="clear" w:pos="4320"/>
          <w:tab w:val="clear" w:pos="8640"/>
          <w:tab w:val="left" w:pos="1800" w:leader="none"/>
          <w:tab w:val="left" w:pos="3960" w:leader="none"/>
        </w:tabs>
        <w:ind w:hanging="360" w:start="1800" w:end="0"/>
        <w:rPr>
          <w:b/>
          <w:i/>
          <w:i/>
        </w:rPr>
      </w:pPr>
      <w:r>
        <w:rPr>
          <w:b/>
          <w:i/>
        </w:rPr>
        <w:t>Physical vs. Financial Transactions</w:t>
      </w:r>
    </w:p>
    <w:p>
      <w:pPr>
        <w:pStyle w:val="Header"/>
        <w:widowControl w:val="false"/>
        <w:tabs>
          <w:tab w:val="clear" w:pos="4320"/>
          <w:tab w:val="clear" w:pos="8640"/>
        </w:tabs>
        <w:ind w:firstLine="720" w:end="0"/>
        <w:rPr>
          <w:b/>
        </w:rPr>
      </w:pPr>
      <w:r>
        <w:rPr>
          <w:b/>
        </w:rPr>
        <w:t>REGION</w:t>
      </w:r>
    </w:p>
    <w:p>
      <w:pPr>
        <w:pStyle w:val="Header"/>
        <w:widowControl w:val="false"/>
        <w:numPr>
          <w:ilvl w:val="0"/>
          <w:numId w:val="5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U.S.</w:t>
      </w:r>
    </w:p>
    <w:p>
      <w:pPr>
        <w:pStyle w:val="Header"/>
        <w:widowControl w:val="false"/>
        <w:numPr>
          <w:ilvl w:val="0"/>
          <w:numId w:val="5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Canada</w:t>
      </w:r>
    </w:p>
    <w:p>
      <w:pPr>
        <w:pStyle w:val="Header"/>
        <w:widowControl w:val="false"/>
        <w:numPr>
          <w:ilvl w:val="0"/>
          <w:numId w:val="5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Latin America – (Brazil- issues for future conference)</w:t>
      </w:r>
    </w:p>
    <w:p>
      <w:pPr>
        <w:pStyle w:val="Header"/>
        <w:widowControl w:val="false"/>
        <w:numPr>
          <w:ilvl w:val="0"/>
          <w:numId w:val="5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 xml:space="preserve">Europe – Coordination </w:t>
      </w:r>
    </w:p>
    <w:p>
      <w:pPr>
        <w:pStyle w:val="Header"/>
        <w:widowControl w:val="false"/>
        <w:numPr>
          <w:ilvl w:val="0"/>
          <w:numId w:val="5"/>
        </w:numPr>
        <w:tabs>
          <w:tab w:val="clear" w:pos="4320"/>
          <w:tab w:val="clear" w:pos="8640"/>
          <w:tab w:val="left" w:pos="2520" w:leader="none"/>
        </w:tabs>
        <w:ind w:hanging="360" w:start="2520" w:end="0"/>
        <w:rPr/>
      </w:pPr>
      <w:r>
        <w:rPr/>
        <w:t>(Bridge Agreements)</w:t>
      </w:r>
    </w:p>
    <w:p>
      <w:pPr>
        <w:pStyle w:val="Header"/>
        <w:widowControl w:val="false"/>
        <w:numPr>
          <w:ilvl w:val="0"/>
          <w:numId w:val="5"/>
        </w:numPr>
        <w:tabs>
          <w:tab w:val="clear" w:pos="4320"/>
          <w:tab w:val="clear" w:pos="8640"/>
          <w:tab w:val="left" w:pos="2520" w:leader="none"/>
        </w:tabs>
        <w:ind w:hanging="360" w:start="2520" w:end="0"/>
        <w:rPr/>
      </w:pPr>
      <w:r>
        <w:rPr/>
        <w:t>Market Abuse Directive</w:t>
      </w:r>
    </w:p>
    <w:p>
      <w:pPr>
        <w:pStyle w:val="Header"/>
        <w:widowControl w:val="false"/>
        <w:tabs>
          <w:tab w:val="clear" w:pos="4320"/>
          <w:tab w:val="clear" w:pos="8640"/>
        </w:tabs>
        <w:ind w:firstLine="720" w:end="0"/>
        <w:rPr>
          <w:b/>
        </w:rPr>
      </w:pPr>
      <w:r>
        <w:rPr>
          <w:b/>
        </w:rPr>
        <w:t>PRODUCT</w:t>
      </w:r>
    </w:p>
    <w:p>
      <w:pPr>
        <w:pStyle w:val="Header"/>
        <w:widowControl w:val="false"/>
        <w:numPr>
          <w:ilvl w:val="0"/>
          <w:numId w:val="7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b/>
          <w:i/>
          <w:i/>
        </w:rPr>
      </w:pPr>
      <w:r>
        <w:rPr>
          <w:b/>
          <w:i/>
        </w:rPr>
        <w:t>Established</w:t>
      </w:r>
    </w:p>
    <w:p>
      <w:pPr>
        <w:pStyle w:val="Header"/>
        <w:widowControl w:val="false"/>
        <w:numPr>
          <w:ilvl w:val="0"/>
          <w:numId w:val="4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Electricity</w:t>
      </w:r>
    </w:p>
    <w:p>
      <w:pPr>
        <w:pStyle w:val="Header"/>
        <w:widowControl w:val="false"/>
        <w:numPr>
          <w:ilvl w:val="0"/>
          <w:numId w:val="4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Bandwidth</w:t>
      </w:r>
    </w:p>
    <w:p>
      <w:pPr>
        <w:pStyle w:val="Header"/>
        <w:widowControl w:val="false"/>
        <w:numPr>
          <w:ilvl w:val="0"/>
          <w:numId w:val="4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Weather</w:t>
      </w:r>
    </w:p>
    <w:p>
      <w:pPr>
        <w:pStyle w:val="Header"/>
        <w:widowControl w:val="false"/>
        <w:numPr>
          <w:ilvl w:val="0"/>
          <w:numId w:val="4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Natural Gas</w:t>
      </w:r>
    </w:p>
    <w:p>
      <w:pPr>
        <w:pStyle w:val="Header"/>
        <w:widowControl w:val="false"/>
        <w:numPr>
          <w:ilvl w:val="0"/>
          <w:numId w:val="4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Coal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>
          <w:b/>
          <w:i/>
          <w:i/>
        </w:rPr>
      </w:pPr>
      <w:r>
        <w:rPr>
          <w:b/>
          <w:i/>
        </w:rPr>
        <w:t>Developing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Pulp and paper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 xml:space="preserve">Lumber 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Steel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Liquefied Natural Gas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Freight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Data Storage</w:t>
      </w:r>
    </w:p>
    <w:p>
      <w:pPr>
        <w:pStyle w:val="Header"/>
        <w:widowControl w:val="false"/>
        <w:numPr>
          <w:ilvl w:val="0"/>
          <w:numId w:val="2"/>
        </w:numPr>
        <w:tabs>
          <w:tab w:val="clear" w:pos="4320"/>
          <w:tab w:val="clear" w:pos="8640"/>
          <w:tab w:val="left" w:pos="1800" w:leader="none"/>
        </w:tabs>
        <w:ind w:hanging="360" w:start="1800" w:end="0"/>
        <w:rPr/>
      </w:pPr>
      <w:r>
        <w:rPr/>
        <w:t>Co2 Emissions</w:t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p>
      <w:pPr>
        <w:pStyle w:val="Heading5"/>
        <w:ind w:firstLine="720" w:start="0" w:end="0"/>
        <w:rPr/>
      </w:pPr>
      <w:r>
        <w:rPr/>
        <w:t>MEMBERSHIP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Committee list clean-up 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Identify key and necessary participants</w:t>
      </w:r>
    </w:p>
    <w:sectPr>
      <w:type w:val="nextPage"/>
      <w:pgSz w:w="12240" w:h="15840"/>
      <w:pgMar w:left="144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outlineLvl w:val="4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2001-05-21T14:53:00Z</dcterms:created>
  <dc:creator>Stacy Carey</dc:creator>
  <dc:description/>
  <dc:language>en-CA</dc:language>
  <cp:lastModifiedBy>Stacy Carey</cp:lastModifiedBy>
  <cp:lastPrinted>2001-05-21T15:32:00Z</cp:lastPrinted>
  <dcterms:modified xsi:type="dcterms:W3CDTF">2001-05-21T17:02:00Z</dcterms:modified>
  <cp:revision>2</cp:revision>
  <dc:subject/>
  <dc:title/>
</cp:coreProperties>
</file>