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680"/>
          <w:tab w:val="clear" w:pos="9360"/>
        </w:tabs>
        <w:rPr/>
      </w:pPr>
      <w:r>
        <w:rPr/>
      </w:r>
    </w:p>
    <w:p>
      <w:pPr>
        <w:pStyle w:val="Normal"/>
        <w:rPr/>
      </w:pPr>
      <w:r>
        <w:rPr/>
      </w:r>
    </w:p>
    <w:p>
      <w:pPr>
        <w:pStyle w:val="Normal"/>
        <w:rPr/>
      </w:pPr>
      <w:r>
        <w:rPr/>
      </w:r>
    </w:p>
    <w:p>
      <w:pPr>
        <w:pStyle w:val="Normal"/>
        <w:rPr/>
      </w:pPr>
      <w:r>
        <w:rPr/>
      </w:r>
    </w:p>
    <w:p>
      <w:pPr>
        <w:pStyle w:val="Normal"/>
        <w:jc w:val="center"/>
        <w:rPr/>
      </w:pPr>
      <w:r>
        <w:rPr/>
        <w:t>October 26, 2001</w:t>
      </w:r>
    </w:p>
    <w:p>
      <w:pPr>
        <w:pStyle w:val="Normal"/>
        <w:rPr/>
      </w:pPr>
      <w:r>
        <w:rPr/>
      </w:r>
    </w:p>
    <w:p>
      <w:pPr>
        <w:pStyle w:val="Normal"/>
        <w:rPr/>
      </w:pPr>
      <w:r>
        <w:rPr/>
      </w:r>
    </w:p>
    <w:p>
      <w:pPr>
        <w:pStyle w:val="Normal"/>
        <w:rPr/>
      </w:pPr>
      <w:r>
        <w:rPr/>
      </w:r>
    </w:p>
    <w:p>
      <w:pPr>
        <w:pStyle w:val="Normal"/>
        <w:rPr/>
      </w:pPr>
      <w:r>
        <w:rPr/>
      </w:r>
    </w:p>
    <w:p>
      <w:pPr>
        <w:pStyle w:val="Normal"/>
        <w:rPr>
          <w:bCs/>
          <w:u w:val="single"/>
        </w:rPr>
      </w:pPr>
      <w:r>
        <w:rPr>
          <w:bCs/>
          <w:u w:val="single"/>
        </w:rPr>
        <w:tab/>
        <w:tab/>
        <w:tab/>
        <w:tab/>
        <w:tab/>
        <w:tab/>
      </w:r>
    </w:p>
    <w:p>
      <w:pPr>
        <w:pStyle w:val="Normal"/>
        <w:rPr>
          <w:bCs/>
          <w:u w:val="single"/>
        </w:rPr>
      </w:pPr>
      <w:r>
        <w:rPr>
          <w:bCs/>
          <w:u w:val="single"/>
        </w:rPr>
        <w:tab/>
        <w:tab/>
        <w:tab/>
        <w:tab/>
        <w:tab/>
        <w:tab/>
      </w:r>
    </w:p>
    <w:p>
      <w:pPr>
        <w:pStyle w:val="Normal"/>
        <w:rPr>
          <w:bCs/>
          <w:u w:val="single"/>
        </w:rPr>
      </w:pPr>
      <w:r>
        <w:rPr>
          <w:bCs/>
          <w:u w:val="single"/>
        </w:rPr>
        <w:tab/>
        <w:tab/>
        <w:tab/>
        <w:tab/>
        <w:tab/>
        <w:tab/>
      </w:r>
    </w:p>
    <w:p>
      <w:pPr>
        <w:pStyle w:val="Normal"/>
        <w:rPr>
          <w:bCs/>
          <w:u w:val="single"/>
        </w:rPr>
      </w:pPr>
      <w:r>
        <w:rPr>
          <w:bCs/>
          <w:u w:val="single"/>
        </w:rPr>
      </w:r>
    </w:p>
    <w:p>
      <w:pPr>
        <w:pStyle w:val="Normal"/>
        <w:rPr/>
      </w:pPr>
      <w:r>
        <w:rPr/>
      </w:r>
    </w:p>
    <w:p>
      <w:pPr>
        <w:pStyle w:val="Normal"/>
        <w:rPr/>
      </w:pPr>
      <w:r>
        <w:rPr/>
        <w:t>Attn:</w:t>
      </w:r>
      <w:r>
        <w:rPr>
          <w:u w:val="single"/>
        </w:rPr>
        <w:tab/>
        <w:tab/>
        <w:tab/>
        <w:tab/>
        <w:tab/>
        <w:tab/>
      </w:r>
    </w:p>
    <w:p>
      <w:pPr>
        <w:pStyle w:val="Header"/>
        <w:tabs>
          <w:tab w:val="clear" w:pos="4680"/>
          <w:tab w:val="clear" w:pos="9360"/>
        </w:tabs>
        <w:rPr/>
      </w:pPr>
      <w:r>
        <w:rPr/>
      </w:r>
    </w:p>
    <w:p>
      <w:pPr>
        <w:pStyle w:val="Normal"/>
        <w:rPr/>
      </w:pPr>
      <w:r>
        <w:rPr/>
      </w:r>
    </w:p>
    <w:p>
      <w:pPr>
        <w:pStyle w:val="Normal"/>
        <w:rPr/>
      </w:pPr>
      <w:r>
        <w:rPr/>
      </w:r>
    </w:p>
    <w:p>
      <w:pPr>
        <w:pStyle w:val="Normal"/>
        <w:rPr/>
      </w:pPr>
      <w:r>
        <w:rPr/>
        <w:t>Ladies and Gentlemen:</w:t>
      </w:r>
    </w:p>
    <w:p>
      <w:pPr>
        <w:pStyle w:val="Normal"/>
        <w:rPr/>
      </w:pPr>
      <w:r>
        <w:rPr/>
      </w:r>
    </w:p>
    <w:p>
      <w:pPr>
        <w:pStyle w:val="Normal"/>
        <w:rPr/>
      </w:pPr>
      <w:r>
        <w:rPr/>
        <w:tab/>
        <w:t>Enron Corp. (the “Disclosing Party”) and _______________ (the "Receiving Party") are discussing a possible strategic transaction (the "Transaction").  Any written sale and purchase agreement with respect to the Transaction duly executed and delivered by the Disclosing Party and Receiving Party is herein referred to as the “Definitive Agreement.”   Unless the context otherwise requires, the terms “Receiving Party” and “Disclosing Party,” as used herein, shall be deemed to include any subsidiary or other entity controlled by, or under common control with, the Receiving Party or the Disclosing Party, respectively.</w:t>
      </w:r>
    </w:p>
    <w:p>
      <w:pPr>
        <w:pStyle w:val="Normal"/>
        <w:rPr/>
      </w:pPr>
      <w:r>
        <w:rPr/>
      </w:r>
    </w:p>
    <w:p>
      <w:pPr>
        <w:pStyle w:val="Normal"/>
        <w:rPr/>
      </w:pPr>
      <w:r>
        <w:rPr/>
        <w:tab/>
        <w:t xml:space="preserve">In connection with the evaluation of the proposed Transaction by the Receiving Party, the Disclosing Party or its Representatives (as hereinafter defined) may furnish to the Receiving Party and its Representatives, through inspection of a data room or otherwise, written, visual or oral information, material and documents regarding the Disclosing Party and its affiliates and their respective businesses, assets, financial condition, results of operations and prospects. Such information, material and documents furnished by the Disclosing Party or its Representatives directly or indirectly to the Receiving Party or its Representatives, irrespective of the form of communication, and all notes, analyses, compilations, forecasts, data, translations, studies, memoranda or other documents prepared by the Receiving Party or its Representatives that contain or otherwise reflect such information, material or documents are herein called the “Evaluation Material.”  The term “Evaluation Material” does not include information that (i) is or becomes generally available to the public, other than as a result of a disclosure by the Receiving Party or any of its Representatives in violation of this Letter Agreement, (ii) the Receiving Party can demonstrate was within the possession of the Receiving Party prior to its disclosure by the Disclosing Party or its Representatives, or (iii) the Receiving Party can demonstrate was or becomes available to the Receiving Party from a source other than the Disclosing Party or its Representatives; </w:t>
      </w:r>
      <w:r>
        <w:rPr>
          <w:i/>
        </w:rPr>
        <w:t>provided, however,</w:t>
      </w:r>
      <w:r>
        <w:rPr/>
        <w:t xml:space="preserve"> that, in the cases of clauses (ii) and (iii), the source of such information was not known or reasonably suspected by the Receiving Party to be bound by a confidentiality agreement with, or other contractual, legal or fiduciary obligation of confidentiality to, the Disclosing Party or any of its affiliates with respect to such information. </w:t>
      </w:r>
    </w:p>
    <w:p>
      <w:pPr>
        <w:pStyle w:val="Normal"/>
        <w:rPr/>
      </w:pPr>
      <w:r>
        <w:rPr/>
      </w:r>
    </w:p>
    <w:p>
      <w:pPr>
        <w:pStyle w:val="Normal"/>
        <w:rPr/>
      </w:pPr>
      <w:r>
        <w:rPr/>
        <w:tab/>
        <w:t>As a condition to the furnishing of Evaluation Material by the Disclosing Party to the Receiving Party, the Receiving Party agrees with the Disclosing Party as follows:</w:t>
      </w:r>
    </w:p>
    <w:p>
      <w:pPr>
        <w:pStyle w:val="Normal"/>
        <w:rPr/>
      </w:pPr>
      <w:r>
        <w:rPr/>
      </w:r>
    </w:p>
    <w:p>
      <w:pPr>
        <w:pStyle w:val="Normal"/>
        <w:rPr>
          <w:b/>
        </w:rPr>
      </w:pPr>
      <w:r>
        <w:rPr/>
        <w:tab/>
        <w:t>1.</w:t>
        <w:tab/>
        <w:t xml:space="preserve">All Evaluation Material furnished by the Disclosing Party or its Representatives to the Receiving Party shall be deemed confidential and shall be kept and maintained by the Receiving Party under appropriate safeguards.  All Evaluation Material shall be used by the Receiving Party solely for the purpose of evaluating a possible Transaction and not for any other purpose and shall, unless otherwise agreed in the Definitive Agreement, be kept confidential by the Receiving Party for a period of two (2) years from the date hereof; </w:t>
      </w:r>
      <w:r>
        <w:rPr>
          <w:i/>
        </w:rPr>
        <w:t>provided, however,</w:t>
      </w:r>
      <w:r>
        <w:rPr/>
        <w:t xml:space="preserve"> that any of such information may be disclosed (i) to the Representatives of the Receiving Party for the purpose of evaluating a possible Transaction, it being understood that (a) such Representatives shall be informed of the confidential nature of the Evaluation Material and shall be directed to treat it confidentially and not to use it other than for the purposes described above and (b) in any event, the Receiving Party shall be responsible for any breach of this Letter Agreement by any of its Representatives, or (ii) in accordance with any prior written consent of the Disclosing Party.  For purposes of this Letter Agreement, the term “Representatives” of a party to this Letter Agreement shall mean the directors, officers, employees, agents and advisers of that party or of any subsidiary or other entity controlled by or under common control with said party (including, without limitation, that party’s independent attorneys, accountants, consultants, commercial bankers and financial advisers).</w:t>
      </w:r>
    </w:p>
    <w:p>
      <w:pPr>
        <w:pStyle w:val="Normal"/>
        <w:rPr>
          <w:b/>
        </w:rPr>
      </w:pPr>
      <w:r>
        <w:rPr>
          <w:b/>
        </w:rPr>
      </w:r>
    </w:p>
    <w:p>
      <w:pPr>
        <w:pStyle w:val="Normal"/>
        <w:rPr/>
      </w:pPr>
      <w:r>
        <w:rPr/>
        <w:tab/>
        <w:t>2.</w:t>
        <w:tab/>
        <w:t>The Receiving Party agrees to make reasonable and appropriate efforts to safeguard the Evaluation Material from disclosure to anyone other than as permitted hereby, and the Receiving Party will not distribute the Evaluation Material to anyone other than as permitted hereby without prior written authorization from the Disclosing Party.  Without the prior written consent of the other party, the Receiving Party will not disclose, and will not permit its Representatives to disclose, to any person other than those permitted hereunder to have access to the Evaluation Material (i) the fact that the Evaluation Material has been made available to the Receiving Party or that the Receiving Party has inspected any portion of the Evaluation Material, (ii) the fact that discussions or negotiations are taking place concerning a possible Transaction, or (iii) any of the terms, conditions or other facts with respect to any such possible Transaction, including the status thereof, except to the extent that the Receiving Party has, prior to any such disclosure, provided the Disclosing Party with an opinion of the Receiving Party’s legal counsel that such disclosure is required by law applicable to the Receiving Party or by policies of the principal stock exchange upon which the Receiving Party’s securities are traded.</w:t>
      </w:r>
    </w:p>
    <w:p>
      <w:pPr>
        <w:pStyle w:val="Normal"/>
        <w:rPr/>
      </w:pPr>
      <w:r>
        <w:rPr/>
      </w:r>
    </w:p>
    <w:p>
      <w:pPr>
        <w:pStyle w:val="Normal"/>
        <w:rPr/>
      </w:pPr>
      <w:r>
        <w:rPr/>
        <w:tab/>
        <w:t>3.</w:t>
        <w:tab/>
        <w:t>If either the Receiving Party or any of its Representatives are requested or required (by oral question, interrogatories, requests for information or documents, subpoena, civil investigative demand or similar process) by any court or governmental agency or authority to disclose any of the Evaluation Material, the entity or person receiving such request or demand will use all reasonable efforts to provide the Disclosing Party with prompt notice of such request or demand so that the Disclosing Party shall have an opportunity to seek an appropriate protective order.  In addition, the Receiving Party and its Representatives agree to take all reasonable steps necessary to prevent disclosure of the Evaluation Material, including seeking an appropriate protective order, or, if the information is required to be disclosed, confidential treatment by the recipient.  If either the Receiving Party or any of its Representatives is advised by its legal counsel that disclosure of any of the Evaluation Material is required by applicable law, rule or regulation, including the rules or regulations of a national securities exchange on which Receiving Party’s securities are listed for trading, the Receiving Party shall give notice thereof to the Disclosing Party as promptly as practicable under the circumstances and shall disclose only such Evaluation Material as the Receiving Party’s legal counsel advises is required by such law, rule or regulation.  Any disclosure of Evaluation Material made by Receiving Party or any of its Representatives in compliance with the immediately preceding sentence shall, notwithstanding the absence of a protective order, be without liability hereunder, but neither the Receiving Party nor such Representatives shall be relieved of any liability hereunder for any previous disclosure by the Receiving Party or any of its Representatives that was not permitted by this Letter Agreement.</w:t>
      </w:r>
    </w:p>
    <w:p>
      <w:pPr>
        <w:pStyle w:val="Normal"/>
        <w:rPr/>
      </w:pPr>
      <w:r>
        <w:rPr/>
      </w:r>
    </w:p>
    <w:p>
      <w:pPr>
        <w:pStyle w:val="Normal"/>
        <w:rPr/>
      </w:pPr>
      <w:r>
        <w:rPr/>
        <w:tab/>
        <w:t>4</w:t>
        <w:tab/>
        <w:t>All Evaluation Material shall be and remain the property of the Disclosing Party.  Within fifteen (15) days after the Disclosing Party or the Receiving Party notifies the other in writing that such party does not intend to continue discussions or negotiations with the other party regarding a possible Transaction, the Receiving Party shall, and shall cause its Representatives to, redeliver to the Disclosing Party all Evaluation Material that the Receiving Party and its Representatives have received from the Disclosing Party, including without limitation all copies, extracts or other reproductions of such Evaluation Material, and the Receiving Party will, and shall cause its Representatives to, destroy all Evaluation Material prepared by them based upon the Evaluation Material supplied by the Disclosing Party (including all written material, memoranda, notes and other writings or recordings whatsoever).  Upon request by the Disclosing Party, the Receiving Party shall provide to the Disclosing Party a certificate of destruction of such Evaluation Material by one of the Receiving Party’s Representatives who shall have supervised such destruction.</w:t>
      </w:r>
    </w:p>
    <w:p>
      <w:pPr>
        <w:pStyle w:val="Normal"/>
        <w:rPr/>
      </w:pPr>
      <w:r>
        <w:rPr/>
      </w:r>
    </w:p>
    <w:p>
      <w:pPr>
        <w:pStyle w:val="Normal"/>
        <w:rPr/>
      </w:pPr>
      <w:r>
        <w:rPr/>
        <w:tab/>
        <w:t>5.</w:t>
        <w:tab/>
        <w:t>The Receiving Party understands and acknowledges that, except to the extent of any representations and warranties contained in a Definitive Agreement, any and all information contained in the Evaluation Material, and any other information furnished by Disclosing Party or its Representatives, is being or will be provided by the Disclosing Party without any representation or warranty, express or implied, as to the accuracy or completeness of the Evaluation Material so provided.  Except as otherwise provided in a Definitive Agreement, neither the Disclosing Party nor any of its Representatives shall have any liability to the Receiving Party or its Representatives relating to or arising from the use of or reliance upon any Evaluation Material or any errors or omissions therein.</w:t>
      </w:r>
    </w:p>
    <w:p>
      <w:pPr>
        <w:pStyle w:val="Normal"/>
        <w:rPr/>
      </w:pPr>
      <w:r>
        <w:rPr/>
      </w:r>
    </w:p>
    <w:p>
      <w:pPr>
        <w:pStyle w:val="Normal"/>
        <w:rPr/>
      </w:pPr>
      <w:r>
        <w:rPr/>
        <w:tab/>
        <w:t>6.</w:t>
        <w:tab/>
        <w:t>Notwithstanding anything herein to the contrary, whether specific or implied, the Disclosing Party shall not be prohibited by this Letter Agreement from disclosing to any other person or publicly any information related to its business or operations or from engaging in discussions or transactions with other parties relating to a transaction similar to the proposed Transaction.</w:t>
      </w:r>
    </w:p>
    <w:p>
      <w:pPr>
        <w:pStyle w:val="Normal"/>
        <w:rPr/>
      </w:pPr>
      <w:r>
        <w:rPr/>
      </w:r>
    </w:p>
    <w:p>
      <w:pPr>
        <w:pStyle w:val="Normal"/>
        <w:rPr/>
      </w:pPr>
      <w:r>
        <w:rPr/>
        <w:tab/>
        <w:t>7.</w:t>
        <w:tab/>
        <w:t>The Receiving Party hereby acknowledges that it is aware (and that its Representatives who are apprised of this matter have been advised) that the United States securities laws prohibit the Receiving Party and its Representatives, as well as any person or entity who has received material non-public information about the Disclosing Party, from purchasing or selling securities of the Disclosing Party or from communicating such information to any person under circumstances under which such other person may be expected to purchase or sell securities of the Disclosing Party.</w:t>
      </w:r>
    </w:p>
    <w:p>
      <w:pPr>
        <w:pStyle w:val="Normal"/>
        <w:rPr/>
      </w:pPr>
      <w:r>
        <w:rPr/>
      </w:r>
    </w:p>
    <w:p>
      <w:pPr>
        <w:pStyle w:val="Normal"/>
        <w:rPr/>
      </w:pPr>
      <w:r>
        <w:rPr/>
        <w:tab/>
        <w:t>8.</w:t>
        <w:tab/>
        <w:t>For a period of eighteen (18) months from the date of this Letter Agreement, the Receiving Party will not, directly or indirectly, without the prior written consent of the Disclosing Party, solicit for employment or hire any employee of the Disclosing Party or its subsidiaries with whom the Receiving Party shall have had contact or who became known to the Receiving Party in connection with its consideration of the Transaction.  This restriction does not apply to a general advertisement of employment opportunities not specifically directed at any employee of any of the foregoing companies, and the Receiving Party shall not be precluded from hiring anyone who has left the employ of the Disclosing Party and its affiliates or whose employment by the Disclosing Party and its affiliates has been terminated, in each case, prior to commencement of employment discussions between the Receiving Party and such person.</w:t>
      </w:r>
    </w:p>
    <w:p>
      <w:pPr>
        <w:pStyle w:val="Header"/>
        <w:tabs>
          <w:tab w:val="clear" w:pos="4680"/>
          <w:tab w:val="clear" w:pos="9360"/>
        </w:tabs>
        <w:rPr/>
      </w:pPr>
      <w:r>
        <w:rPr/>
      </w:r>
    </w:p>
    <w:p>
      <w:pPr>
        <w:pStyle w:val="Normal"/>
        <w:rPr/>
      </w:pPr>
      <w:r>
        <w:rPr/>
        <w:tab/>
        <w:t>9.</w:t>
        <w:tab/>
        <w:t>Except in connection with the negotiation of the terms of a Transaction or in accordance with the terms of a Definitive Agreement, for a period of eighteen (18) months from the date of this Letter Agreement the Receiving Party shall not, directly or indirectly:</w:t>
      </w:r>
    </w:p>
    <w:p>
      <w:pPr>
        <w:pStyle w:val="Normal"/>
        <w:rPr/>
      </w:pPr>
      <w:r>
        <w:rPr/>
      </w:r>
    </w:p>
    <w:p>
      <w:pPr>
        <w:pStyle w:val="Normal"/>
        <w:ind w:hanging="720" w:start="720" w:end="0"/>
        <w:rPr/>
      </w:pPr>
      <w:r>
        <w:rPr/>
        <w:tab/>
        <w:tab/>
        <w:t>(i)</w:t>
        <w:tab/>
        <w:t>acquire, or offer or agree to acquire, by purchase or otherwise, any securities of the Disclosing Party (or rights or options to acquire any securities of the Disclosing Party) except by way of stock dividends or other distributions made on a pro rata basis with respect to any securities of the Disclosing Party acquired by the Receiving Party prior to the date of this Letter Agreement;</w:t>
      </w:r>
    </w:p>
    <w:p>
      <w:pPr>
        <w:pStyle w:val="Normal"/>
        <w:rPr/>
      </w:pPr>
      <w:r>
        <w:rPr/>
      </w:r>
    </w:p>
    <w:p>
      <w:pPr>
        <w:pStyle w:val="Normal"/>
        <w:ind w:hanging="720" w:start="720" w:end="0"/>
        <w:rPr/>
      </w:pPr>
      <w:r>
        <w:rPr/>
        <w:tab/>
        <w:tab/>
        <w:t>(ii)</w:t>
        <w:tab/>
        <w:t>solicit proxies or consents or become a “participant” in a “solicitation” (as such terms are defined in Regulation 14A under the Securities Exchange Act of 1934, as amended) of proxies or consents with respect to securities of the Disclosing Party with regard to any matter;</w:t>
      </w:r>
    </w:p>
    <w:p>
      <w:pPr>
        <w:pStyle w:val="Normal"/>
        <w:rPr/>
      </w:pPr>
      <w:r>
        <w:rPr/>
      </w:r>
    </w:p>
    <w:p>
      <w:pPr>
        <w:pStyle w:val="Normal"/>
        <w:ind w:hanging="720" w:start="720" w:end="0"/>
        <w:rPr/>
      </w:pPr>
      <w:r>
        <w:rPr/>
        <w:tab/>
        <w:tab/>
        <w:t>(iii)</w:t>
        <w:tab/>
        <w:t>seek to control or influence the management or board of directors of the Disclosing Party with respect to the policies of the Disclosing Party, seek to advise, encourage or influence any person with respect to the voting of any securities of the Disclosing Party or seek to induce or in any manner to assist any other person to initiate any stockholder proposal with respect to the securities of the Disclosing Party, any change of control of the Disclosing Party or for the purpose of convening a meeting of stockholders of the Disclosing Party or to initiate any tender or exchange offer for securities of the Disclosing Party;</w:t>
      </w:r>
    </w:p>
    <w:p>
      <w:pPr>
        <w:pStyle w:val="Normal"/>
        <w:rPr/>
      </w:pPr>
      <w:r>
        <w:rPr/>
      </w:r>
    </w:p>
    <w:p>
      <w:pPr>
        <w:pStyle w:val="Normal"/>
        <w:ind w:hanging="720" w:start="720" w:end="0"/>
        <w:rPr/>
      </w:pPr>
      <w:r>
        <w:rPr/>
        <w:tab/>
        <w:tab/>
        <w:t>(iv)</w:t>
        <w:tab/>
        <w:t>without the prior written consent of the Disclosing Party, make any public announcement (except as required by law applicable to the Receiving Party or by policy of the principal stock exchange on which securities of the Receiving Party are admitted for trading) or make any written or oral proposal relating to a tender or exchange offer for securities of the Disclosing Party, a business combination (or other similar transaction that would result in a change of control), sale of assets, liquidation or other extraordinary corporate transaction between the Receiving Party (including any of its affiliates) and the Disclosing Party (each such transaction being referred to herein as an “Acquisition”) or take any action that might require the Disclosing Party to make a public announcement regarding any Acquisition;</w:t>
      </w:r>
    </w:p>
    <w:p>
      <w:pPr>
        <w:pStyle w:val="Normal"/>
        <w:rPr/>
      </w:pPr>
      <w:r>
        <w:rPr/>
      </w:r>
    </w:p>
    <w:p>
      <w:pPr>
        <w:pStyle w:val="Normal"/>
        <w:ind w:hanging="720" w:start="720" w:end="0"/>
        <w:rPr/>
      </w:pPr>
      <w:r>
        <w:rPr/>
        <w:tab/>
        <w:tab/>
        <w:t>(v)</w:t>
        <w:tab/>
        <w:t>initiate or make, or induce or attempt to induce or give encouragement to any other person through the provision of financial resources or incentives to initiate or make, (a) a proposal with respect to an Acquisition or (b) a proxy contest or other proxy solicitation with respect to the voting of any outstanding securities of the Disclosing Party;</w:t>
      </w:r>
    </w:p>
    <w:p>
      <w:pPr>
        <w:pStyle w:val="Normal"/>
        <w:rPr/>
      </w:pPr>
      <w:r>
        <w:rPr/>
      </w:r>
    </w:p>
    <w:p>
      <w:pPr>
        <w:pStyle w:val="Normal"/>
        <w:ind w:hanging="720" w:start="720" w:end="0"/>
        <w:rPr/>
      </w:pPr>
      <w:r>
        <w:rPr/>
        <w:tab/>
        <w:tab/>
        <w:t>(vi)</w:t>
        <w:tab/>
        <w:t>deposit any securities of the Disclosing Party in a voting trust or subject any securities of the Disclosing Party to any arrangement or agreement with respect to the voting of securities of the Disclosing Party; or</w:t>
      </w:r>
    </w:p>
    <w:p>
      <w:pPr>
        <w:pStyle w:val="Normal"/>
        <w:rPr/>
      </w:pPr>
      <w:r>
        <w:rPr/>
      </w:r>
    </w:p>
    <w:p>
      <w:pPr>
        <w:pStyle w:val="Normal"/>
        <w:ind w:hanging="720" w:start="720" w:end="0"/>
        <w:rPr/>
      </w:pPr>
      <w:r>
        <w:rPr/>
        <w:tab/>
        <w:tab/>
        <w:t>(vii)</w:t>
        <w:tab/>
        <w:t>form, join or in any way participate in a partnership, limited partnership, syndicate or other group (or otherwise act in concert with any other person) for the purpose of acquiring, holding, voting or disposing of securities of the Disclosing Party or taking any other actions restricted or prohibited under clauses (i) through (vii) of this Section 9.</w:t>
      </w:r>
    </w:p>
    <w:p>
      <w:pPr>
        <w:pStyle w:val="Normal"/>
        <w:rPr/>
      </w:pPr>
      <w:r>
        <w:rPr/>
      </w:r>
    </w:p>
    <w:p>
      <w:pPr>
        <w:pStyle w:val="Normal"/>
        <w:rPr/>
      </w:pPr>
      <w:r>
        <w:rPr/>
        <w:tab/>
        <w:t>10.</w:t>
        <w:tab/>
        <w:t>The Receiving Party acknowledges the importance to the Disclosing Party that the Receiving Party’s review of the Evaluation Material and any discussion of a Transaction be conducted in confidentiality with only a limited number of individual Representatives of the Disclosing Party.  Accordingly, without the prior written consent of the Disclosing Party, the Receiving Party will not, and will cause its Representatives not to, contact with respect to the proposed Transaction any Representative of the Disclosing Party or any of its subsidiaries or affiliates other than those individuals listed on Annex B hereto.</w:t>
      </w:r>
    </w:p>
    <w:p>
      <w:pPr>
        <w:pStyle w:val="Normal"/>
        <w:rPr/>
      </w:pPr>
      <w:r>
        <w:rPr/>
      </w:r>
    </w:p>
    <w:p>
      <w:pPr>
        <w:pStyle w:val="Normal"/>
        <w:rPr/>
      </w:pPr>
      <w:r>
        <w:rPr/>
        <w:tab/>
        <w:t>11.</w:t>
        <w:tab/>
        <w:t>The Receiving Party acknowledges that various subsidiaries of the Disclosing Party are subject to executory confidentiality obligations relating to certain of their businesses and that access of the Receiving Party and its Representatives to Evaluation Material may be contingent upon execution and delivery of a supplement to this Letter Agreement that will require the Receiving Party and its Representatives to maintain confidentiality of that Evaluation Material in a manner similar to that required of such subsidiaries of the Disclosing Party.</w:t>
      </w:r>
    </w:p>
    <w:p>
      <w:pPr>
        <w:pStyle w:val="Normal"/>
        <w:rPr/>
      </w:pPr>
      <w:r>
        <w:rPr/>
      </w:r>
    </w:p>
    <w:p>
      <w:pPr>
        <w:pStyle w:val="Normal"/>
        <w:rPr/>
      </w:pPr>
      <w:r>
        <w:rPr/>
        <w:tab/>
        <w:t>12.</w:t>
        <w:tab/>
        <w:t>Both the Receiving Party and the Disclosing Party understand and agree that no contract or agreement providing for a Transaction between such parties shall be deemed to exist between such parties unless and until a Definitive Agreement setting forth the terms, conditions and other provisions relating to a Transaction has been executed and delivered, and each such party hereby waives, in advance, any claims (including without limitation breach of contract) based on any alleged agreement between the Disclosing Party and the Receiving Party to effect a Transaction unless and until a Definitive Agreement between such parties shall have been executed and delivered.  Both the Disclosing Party and the Receiving Party also agree that, unless and until a Definitive Agreement between such parties has been executed and delivered, the other party has no legal obligation of any kind whatsoever with respect to such Transaction by virtue of this Letter Agreement or any other written or oral expression with respect to such Transaction except, in the case of this Letter Agreement, for the matters expressly agreed to herein.  For purposes of this Letter Agreement, the term “Definitive Agreement” does not include an executed letter of intent or any other preliminary written agreement nor does it include any written or verbal acceptance by the Disclosing Party of an offer or bid on the part of the Receiving Party.</w:t>
      </w:r>
    </w:p>
    <w:p>
      <w:pPr>
        <w:pStyle w:val="Normal"/>
        <w:rPr/>
      </w:pPr>
      <w:r>
        <w:rPr/>
      </w:r>
    </w:p>
    <w:p>
      <w:pPr>
        <w:pStyle w:val="Normal"/>
        <w:rPr/>
      </w:pPr>
      <w:r>
        <w:rPr/>
        <w:tab/>
        <w:t>13.</w:t>
        <w:tab/>
        <w:t>The Receiving Party acknowledges that money damages would not be a sufficient remedy for any breach of this Letter Agreement by the Receiving Party or its Representatives and that without prejudice to any rights or remedies at law or in equity otherwise available to the Disclosing Party, the Disclosing Party shall, if the Receiving Party breaches any provision of this Letter Agreement, be entitled to injunctive relief, specific performance or other appropriate equitable remedies for any such breach.  No failure or delay by the Disclosing Party in exercising any right, power or privilege hereunder shall operate as a waiver thereof nor shall any single or partial exercise thereof preclude any other or further exercise thereof or the exercise of any other right, power or privilege hereunder.</w:t>
      </w:r>
    </w:p>
    <w:p>
      <w:pPr>
        <w:pStyle w:val="Normal"/>
        <w:rPr/>
      </w:pPr>
      <w:r>
        <w:rPr/>
      </w:r>
    </w:p>
    <w:p>
      <w:pPr>
        <w:pStyle w:val="Normal"/>
        <w:rPr/>
      </w:pPr>
      <w:r>
        <w:rPr/>
        <w:tab/>
        <w:t>14.</w:t>
        <w:tab/>
        <w:t>The Receiving Party and the Disclosing Party each represents that it has the power and authority to execute and deliver this Letter Agreement, and that this Letter Agreement constitutes a valid and binding agreement of such party, enforceable in accordance with its terms.  This Letter Agreement shall not be assignable by either party without the consent of the other party. This Letter Agreement shall be binding upon the successors and permitted assigns of each party hereto and shall inure to the benefit of, and be enforceable by, the successors and permitted assigns of each such party.</w:t>
      </w:r>
    </w:p>
    <w:p>
      <w:pPr>
        <w:pStyle w:val="Normal"/>
        <w:rPr/>
      </w:pPr>
      <w:r>
        <w:rPr/>
      </w:r>
    </w:p>
    <w:p>
      <w:pPr>
        <w:pStyle w:val="Normal"/>
        <w:rPr/>
      </w:pPr>
      <w:r>
        <w:rPr/>
        <w:tab/>
        <w:t>15.</w:t>
        <w:tab/>
        <w:t>Unless otherwise expressly agreed in writing, each party hereto will bear its own costs and expenses, including legal fees and fees of other advisors, with respect to any Transaction.</w:t>
      </w:r>
    </w:p>
    <w:p>
      <w:pPr>
        <w:pStyle w:val="Normal"/>
        <w:rPr/>
      </w:pPr>
      <w:r>
        <w:rPr/>
      </w:r>
    </w:p>
    <w:p>
      <w:pPr>
        <w:pStyle w:val="Normal"/>
        <w:rPr/>
      </w:pPr>
      <w:r>
        <w:rPr/>
        <w:tab/>
        <w:t>16.</w:t>
        <w:tab/>
        <w:t>The provisions of this Letter Agreement shall be severable if any of the provisions hereof are held by a court of competent jurisdiction to be invalid, void or otherwise unenforceable, and the remaining provisions shall remain enforceable to the fullest extent permitted by law.</w:t>
      </w:r>
    </w:p>
    <w:p>
      <w:pPr>
        <w:pStyle w:val="Normal"/>
        <w:rPr/>
      </w:pPr>
      <w:r>
        <w:rPr/>
      </w:r>
    </w:p>
    <w:p>
      <w:pPr>
        <w:pStyle w:val="Normal"/>
        <w:rPr/>
      </w:pPr>
      <w:r>
        <w:rPr/>
        <w:tab/>
        <w:t>17.</w:t>
        <w:tab/>
        <w:t xml:space="preserve">This Letter Agreement shall be construed and enforced in accordance with, and governed by, the laws of the State of Texas.  </w:t>
      </w:r>
    </w:p>
    <w:p>
      <w:pPr>
        <w:pStyle w:val="Normal"/>
        <w:rPr/>
      </w:pPr>
      <w:r>
        <w:rPr/>
      </w:r>
    </w:p>
    <w:p>
      <w:pPr>
        <w:pStyle w:val="Normal"/>
        <w:rPr/>
      </w:pPr>
      <w:r>
        <w:rPr/>
        <w:tab/>
        <w:t>18.</w:t>
        <w:tab/>
        <w:t>This Letter Agreement may be waived only by an instrument in writing signed by the party against which such waiver is sought to be enforced, and such written instrument shall set forth specifically the provisions of this Letter Agreement that are to be so waived.  Any amendment or modification of this Letter Agreement shall require a written instrument duly signed by both parties.</w:t>
      </w:r>
    </w:p>
    <w:p>
      <w:pPr>
        <w:pStyle w:val="Normal"/>
        <w:rPr/>
      </w:pPr>
      <w:r>
        <w:rPr/>
      </w:r>
    </w:p>
    <w:p>
      <w:pPr>
        <w:pStyle w:val="Normal"/>
        <w:rPr/>
      </w:pPr>
      <w:r>
        <w:rPr/>
        <w:tab/>
        <w:t>19.</w:t>
        <w:tab/>
        <w:t>This Letter Agreement may be executed in any number of counterparts, each of such counterparts shall for all purposes be deemed an original and all such counterparts shall together constitute but one and the same instrument.</w:t>
      </w:r>
    </w:p>
    <w:p>
      <w:pPr>
        <w:pStyle w:val="Normal"/>
        <w:rPr/>
      </w:pPr>
      <w:r>
        <w:rPr/>
      </w:r>
    </w:p>
    <w:p>
      <w:pPr>
        <w:pStyle w:val="Normal"/>
        <w:rPr/>
      </w:pPr>
      <w:r>
        <w:rPr/>
        <w:tab/>
        <w:t>Please indicate your agreement with the foregoing by executing the accompanying copy of this Letter Agreement and returning it to us, whereupon it shall constitute a binding agreement between us as of the date first above written.</w:t>
      </w:r>
    </w:p>
    <w:p>
      <w:pPr>
        <w:pStyle w:val="Normal"/>
        <w:rPr/>
      </w:pPr>
      <w:r>
        <w:rPr/>
      </w:r>
    </w:p>
    <w:p>
      <w:pPr>
        <w:pStyle w:val="Normal"/>
        <w:rPr/>
      </w:pPr>
      <w:r>
        <w:rPr/>
        <w:tab/>
        <w:tab/>
        <w:tab/>
        <w:tab/>
        <w:tab/>
        <w:tab/>
        <w:tab/>
        <w:t>Very truly yours,</w:t>
      </w:r>
    </w:p>
    <w:p>
      <w:pPr>
        <w:pStyle w:val="Normal"/>
        <w:rPr/>
      </w:pPr>
      <w:r>
        <w:rPr/>
      </w:r>
    </w:p>
    <w:p>
      <w:pPr>
        <w:pStyle w:val="Normal"/>
        <w:numPr>
          <w:ilvl w:val="0"/>
          <w:numId w:val="0"/>
        </w:numPr>
        <w:outlineLvl w:val="0"/>
        <w:rPr>
          <w:b/>
          <w:bCs/>
        </w:rPr>
      </w:pPr>
      <w:r>
        <w:rPr>
          <w:b/>
          <w:bCs/>
        </w:rPr>
        <w:tab/>
        <w:tab/>
        <w:tab/>
        <w:tab/>
        <w:tab/>
        <w:tab/>
        <w:tab/>
        <w:t>ENRON CORP.</w:t>
      </w:r>
    </w:p>
    <w:p>
      <w:pPr>
        <w:pStyle w:val="Normal"/>
        <w:rPr>
          <w:b/>
          <w:bCs/>
        </w:rPr>
      </w:pPr>
      <w:r>
        <w:rPr>
          <w:b/>
          <w:bCs/>
        </w:rPr>
      </w:r>
    </w:p>
    <w:p>
      <w:pPr>
        <w:pStyle w:val="Normal"/>
        <w:rPr/>
      </w:pPr>
      <w:r>
        <w:rPr/>
      </w:r>
    </w:p>
    <w:p>
      <w:pPr>
        <w:pStyle w:val="Normal"/>
        <w:rPr/>
      </w:pPr>
      <w:r>
        <w:rPr/>
      </w:r>
    </w:p>
    <w:p>
      <w:pPr>
        <w:pStyle w:val="Normal"/>
        <w:rPr/>
      </w:pPr>
      <w:r>
        <w:rPr/>
        <w:tab/>
        <w:tab/>
        <w:tab/>
        <w:tab/>
        <w:tab/>
        <w:tab/>
        <w:tab/>
        <w:t>By:  ___________________________________</w:t>
      </w:r>
    </w:p>
    <w:p>
      <w:pPr>
        <w:pStyle w:val="Normal"/>
        <w:rPr/>
      </w:pPr>
      <w:r>
        <w:rPr/>
        <w:tab/>
        <w:tab/>
        <w:tab/>
        <w:tab/>
        <w:tab/>
        <w:tab/>
        <w:tab/>
        <w:t xml:space="preserve">  Name:  _______________________________</w:t>
      </w:r>
    </w:p>
    <w:p>
      <w:pPr>
        <w:pStyle w:val="Normal"/>
        <w:rPr/>
      </w:pPr>
      <w:r>
        <w:rPr/>
        <w:tab/>
        <w:tab/>
        <w:tab/>
        <w:tab/>
        <w:tab/>
        <w:tab/>
        <w:tab/>
        <w:t xml:space="preserve">  Title:  ________________________________</w:t>
      </w:r>
    </w:p>
    <w:p>
      <w:pPr>
        <w:pStyle w:val="Normal"/>
        <w:rPr/>
      </w:pPr>
      <w:r>
        <w:rPr/>
      </w:r>
    </w:p>
    <w:p>
      <w:pPr>
        <w:pStyle w:val="Normal"/>
        <w:rPr/>
      </w:pPr>
      <w:r>
        <w:rPr/>
      </w:r>
    </w:p>
    <w:p>
      <w:pPr>
        <w:pStyle w:val="Normal"/>
        <w:rPr/>
      </w:pPr>
      <w:r>
        <w:rPr/>
      </w:r>
    </w:p>
    <w:p>
      <w:pPr>
        <w:pStyle w:val="Normal"/>
        <w:rPr/>
      </w:pPr>
      <w:r>
        <w:rPr/>
        <w:t>Confirmed and Agreed To:</w:t>
      </w:r>
    </w:p>
    <w:p>
      <w:pPr>
        <w:pStyle w:val="Normal"/>
        <w:rPr/>
      </w:pPr>
      <w:r>
        <w:rPr/>
      </w:r>
    </w:p>
    <w:p>
      <w:pPr>
        <w:pStyle w:val="Normal"/>
        <w:rPr/>
      </w:pPr>
      <w:r>
        <w:rPr/>
      </w:r>
    </w:p>
    <w:p>
      <w:pPr>
        <w:pStyle w:val="Normal"/>
        <w:rPr>
          <w:u w:val="single"/>
        </w:rPr>
      </w:pPr>
      <w:r>
        <w:rPr>
          <w:u w:val="single"/>
        </w:rPr>
        <w:tab/>
        <w:tab/>
        <w:tab/>
        <w:tab/>
        <w:tab/>
        <w:tab/>
      </w:r>
    </w:p>
    <w:p>
      <w:pPr>
        <w:pStyle w:val="Normal"/>
        <w:rPr>
          <w:u w:val="single"/>
        </w:rPr>
      </w:pPr>
      <w:r>
        <w:rPr>
          <w:u w:val="single"/>
        </w:rPr>
      </w:r>
    </w:p>
    <w:p>
      <w:pPr>
        <w:pStyle w:val="Normal"/>
        <w:rPr/>
      </w:pPr>
      <w:r>
        <w:rPr/>
      </w:r>
    </w:p>
    <w:p>
      <w:pPr>
        <w:pStyle w:val="Normal"/>
        <w:numPr>
          <w:ilvl w:val="0"/>
          <w:numId w:val="0"/>
        </w:numPr>
        <w:outlineLvl w:val="0"/>
        <w:rPr/>
      </w:pPr>
      <w:r>
        <w:rPr/>
        <w:t>By:  ________________________________</w:t>
      </w:r>
    </w:p>
    <w:p>
      <w:pPr>
        <w:pStyle w:val="Normal"/>
        <w:rPr/>
      </w:pPr>
      <w:r>
        <w:rPr/>
        <w:t xml:space="preserve">  </w:t>
      </w:r>
      <w:r>
        <w:rPr/>
        <w:t>Name:  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t xml:space="preserve">  </w:t>
      </w:r>
      <w:r>
        <w:rPr/>
        <w:t>Title:  ______________________________</w:t>
      </w:r>
    </w:p>
    <w:p>
      <w:pPr>
        <w:pStyle w:val="Normal"/>
        <w:numPr>
          <w:ilvl w:val="0"/>
          <w:numId w:val="0"/>
        </w:numPr>
        <w:jc w:val="center"/>
        <w:outlineLvl w:val="0"/>
        <w:rPr>
          <w:b/>
        </w:rPr>
      </w:pPr>
      <w:r>
        <w:rPr>
          <w:b/>
        </w:rPr>
        <w:t>List of Representatives of Disclosing Party With Whom Contact is Allowed:</w:t>
      </w:r>
    </w:p>
    <w:p>
      <w:pPr>
        <w:pStyle w:val="Normal"/>
        <w:jc w:val="center"/>
        <w:rPr>
          <w:b/>
        </w:rPr>
      </w:pPr>
      <w:r>
        <w:rPr>
          <w:b/>
        </w:rPr>
      </w:r>
    </w:p>
    <w:p>
      <w:pPr>
        <w:pStyle w:val="Normal"/>
        <w:jc w:val="center"/>
        <w:rPr>
          <w:b/>
        </w:rPr>
      </w:pPr>
      <w:r>
        <w:rPr>
          <w:b/>
        </w:rPr>
      </w:r>
    </w:p>
    <w:p>
      <w:pPr>
        <w:pStyle w:val="Normal"/>
        <w:jc w:val="center"/>
        <w:rPr>
          <w:b/>
        </w:rPr>
      </w:pPr>
      <w:r>
        <w:rPr>
          <w:b/>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/mnt/main-storage/datasets/enron-docs/doc/StrategicCA.doc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/mnt/main-storage/datasets/enron-docs/doc/StrategicCA.doc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720" w:leader="none"/>
        <w:tab w:val="left" w:pos="1440" w:leader="none"/>
        <w:tab w:val="left" w:pos="2160" w:leader="none"/>
        <w:tab w:val="left" w:pos="2880" w:leader="none"/>
        <w:tab w:val="center" w:pos="4680" w:leader="none"/>
        <w:tab w:val="right" w:pos="9360" w:leader="none"/>
      </w:tabs>
      <w:jc w:val="start"/>
      <w:rPr>
        <w:bCs/>
        <w:u w:val="single"/>
      </w:rPr>
    </w:pPr>
    <w:r>
      <w:rPr>
        <w:bCs/>
        <w:u w:val="single"/>
      </w:rPr>
      <w:tab/>
      <w:tab/>
      <w:tab/>
      <w:tab/>
    </w:r>
  </w:p>
  <w:p>
    <w:pPr>
      <w:pStyle w:val="Header"/>
      <w:jc w:val="start"/>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jc w:val="start"/>
      <w:rPr/>
    </w:pPr>
    <w:r>
      <w:rPr>
        <w:rStyle w:val="PageNumber"/>
      </w:rPr>
      <w:t>October 26, 2001</w:t>
    </w:r>
  </w:p>
  <w:p>
    <w:pPr>
      <w:pStyle w:val="Header"/>
      <w:jc w:val="start"/>
      <w:rPr>
        <w:rStyle w:val="PageNumber"/>
      </w:rPr>
    </w:pPr>
    <w:r>
      <w:rPr/>
    </w:r>
  </w:p>
  <w:p>
    <w:pPr>
      <w:pStyle w:val="Header"/>
      <w:jc w:val="start"/>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rStyle w:val="PageNumber"/>
      </w:rPr>
    </w:pPr>
    <w:r>
      <w:rPr/>
    </w:r>
  </w:p>
  <w:p>
    <w:pPr>
      <w:pStyle w:val="Header"/>
      <w:jc w:val="start"/>
      <w:rPr>
        <w:rStyle w:val="PageNumber"/>
        <w:b/>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Times New Roman" w:hAnsi="Times New Roman;Times New Roman" w:eastAsia="Times New Roman;Times New Roman" w:cs="Times New Roman;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2001-10-26T02:37:00Z</dcterms:created>
  <dc:creator>Vinson &amp; Elkins L.L.P.</dc:creator>
  <dc:description/>
  <dc:language>en-CA</dc:language>
  <cp:lastModifiedBy>Travis McCullough</cp:lastModifiedBy>
  <cp:lastPrinted>2001-05-10T15:31:00Z</cp:lastPrinted>
  <dcterms:modified xsi:type="dcterms:W3CDTF">2001-10-26T02:37:00Z</dcterms:modified>
  <cp:revision>2</cp:revision>
  <dc:subject/>
  <dc:title>[CLIENT LETTERHEAD]</dc:title>
</cp:coreProperties>
</file>