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png" ContentType="image/png"/>
  <Override PartName="/word/media/image6.wmf" ContentType="image/x-wmf"/>
  <Override PartName="/word/media/image7.wmf" ContentType="image/x-wmf"/>
  <Override PartName="/word/media/image8.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b/>
        </w:rPr>
      </w:pPr>
      <w:r>
        <w:rPr>
          <w:b/>
        </w:rPr>
        <w:t>Real Option Approach to Natural Gas Storage Valuation</w:t>
      </w:r>
    </w:p>
    <w:p>
      <w:pPr>
        <w:pStyle w:val="Normal"/>
        <w:widowControl/>
        <w:rPr>
          <w:b/>
        </w:rPr>
      </w:pPr>
      <w:r>
        <w:rPr>
          <w:b/>
        </w:rPr>
      </w:r>
    </w:p>
    <w:p>
      <w:pPr>
        <w:pStyle w:val="Normal"/>
        <w:widowControl/>
        <w:jc w:val="center"/>
        <w:rPr/>
      </w:pPr>
      <w:r>
        <w:rPr/>
      </w:r>
    </w:p>
    <w:p>
      <w:pPr>
        <w:pStyle w:val="Normal"/>
        <w:widowControl/>
        <w:jc w:val="center"/>
        <w:rPr/>
      </w:pPr>
      <w:r>
        <w:rPr/>
        <w:t>Zimin Lu, Stinson Gibner and Vince Kaminski</w:t>
      </w:r>
    </w:p>
    <w:p>
      <w:pPr>
        <w:pStyle w:val="Normal"/>
        <w:widowControl/>
        <w:jc w:val="center"/>
        <w:rPr/>
      </w:pPr>
      <w:r>
        <w:rPr/>
        <w:t>Research, Enron Corporation</w:t>
      </w:r>
    </w:p>
    <w:p>
      <w:pPr>
        <w:pStyle w:val="Normal"/>
        <w:widowControl/>
        <w:jc w:val="center"/>
        <w:rPr/>
      </w:pPr>
      <w:r>
        <w:rPr/>
      </w:r>
    </w:p>
    <w:p>
      <w:pPr>
        <w:pStyle w:val="Normal"/>
        <w:widowControl/>
        <w:jc w:val="center"/>
        <w:rPr/>
      </w:pPr>
      <w:r>
        <w:rPr/>
        <w:t>Version:  March 2, 2000</w:t>
      </w:r>
    </w:p>
    <w:p>
      <w:pPr>
        <w:pStyle w:val="Normal"/>
        <w:widowControl/>
        <w:jc w:val="center"/>
        <w:rPr>
          <w:sz w:val="18"/>
        </w:rPr>
      </w:pPr>
      <w:r>
        <w:rPr>
          <w:sz w:val="18"/>
        </w:rPr>
      </w:r>
    </w:p>
    <w:p>
      <w:pPr>
        <w:pStyle w:val="Normal"/>
        <w:widowControl/>
        <w:jc w:val="center"/>
        <w:rPr>
          <w:sz w:val="18"/>
        </w:rPr>
      </w:pPr>
      <w:r>
        <w:rPr>
          <w:sz w:val="18"/>
        </w:rPr>
      </w:r>
    </w:p>
    <w:p>
      <w:pPr>
        <w:pStyle w:val="Heading1"/>
        <w:widowControl/>
        <w:ind w:hanging="0" w:start="0"/>
        <w:rPr/>
      </w:pPr>
      <w:r>
        <w:rPr/>
        <w:t>Abstract</w:t>
      </w:r>
    </w:p>
    <w:p>
      <w:pPr>
        <w:pStyle w:val="Normal"/>
        <w:widowControl/>
        <w:rPr/>
      </w:pPr>
      <w:r>
        <w:rPr/>
      </w:r>
    </w:p>
    <w:p>
      <w:pPr>
        <w:pStyle w:val="Normal"/>
        <w:widowControl/>
        <w:rPr/>
      </w:pPr>
      <w:r>
        <w:rPr/>
        <w:t>In this paper we present a real options approach for natural gas storage facility valuation.  A multi-factor HJM technology is exploited to model forward curve movement.  A multi-dimensional tree is constructed via American Monte Carlo simulation techniques.  The decision to inject, withdraw, or hold is made optimally at each node on the tree.  The present value to own and operate the storage facility is then determined by recursion through the tree.  Sensitivities to financial and operational parameters are also discussed.</w:t>
      </w:r>
    </w:p>
    <w:p>
      <w:pPr>
        <w:pStyle w:val="Normal"/>
        <w:widowControl/>
        <w:rPr/>
      </w:pPr>
      <w:r>
        <w:rPr/>
      </w:r>
    </w:p>
    <w:p>
      <w:pPr>
        <w:pStyle w:val="Normal"/>
        <w:widowControl/>
        <w:rPr/>
      </w:pPr>
      <w:r>
        <w:rPr/>
      </w:r>
    </w:p>
    <w:p>
      <w:pPr>
        <w:pStyle w:val="Normal"/>
        <w:widowControl/>
        <w:ind w:hanging="720" w:start="720" w:end="0"/>
        <w:rPr>
          <w:b/>
        </w:rPr>
      </w:pPr>
      <w:r>
        <w:rPr>
          <w:b/>
        </w:rPr>
        <w:t>I.</w:t>
        <w:tab/>
        <w:t>Introduction</w:t>
      </w:r>
    </w:p>
    <w:p>
      <w:pPr>
        <w:pStyle w:val="Normal"/>
        <w:widowControl/>
        <w:rPr/>
      </w:pPr>
      <w:r>
        <w:rPr/>
        <w:t xml:space="preserve"> </w:t>
      </w:r>
    </w:p>
    <w:p>
      <w:pPr>
        <w:pStyle w:val="Normal"/>
        <w:widowControl/>
        <w:rPr/>
      </w:pPr>
      <w:r>
        <w:rPr/>
        <w:t xml:space="preserve">The natural gas storage facilities are important real assets for gas producers, utilities, and marketing companies.  They allow an energy company to hold gas inventory, to ensure reliability of gas supply, and to exploit trading opportunities. Due to the pronounced seasonality of natural gas prices, it usually pays to buy and store gas in the summer and to sell it in the winter.  From a purely financial perspective, it makes sense to invest in a storage facility if the return from the inter-seasonal and /or intra-seasonal spreads surpasses the cost of capital.  Owning a real asset such as storage also adds strategic value to the holding company because of limited deliverability of the physical commodity to a specific market area. </w:t>
      </w:r>
    </w:p>
    <w:p>
      <w:pPr>
        <w:pStyle w:val="Normal"/>
        <w:widowControl/>
        <w:rPr/>
      </w:pPr>
      <w:r>
        <w:rPr/>
      </w:r>
    </w:p>
    <w:p>
      <w:pPr>
        <w:pStyle w:val="Normal"/>
        <w:widowControl/>
        <w:rPr/>
      </w:pPr>
      <w:r>
        <w:rPr/>
        <w:t xml:space="preserve">There are two major types of storage.  The most common gas storage, reservoir storage, uses depleted oil and gas fields to store gas.  For these facilities, a minimum amount of cushion gas must be maintained “in the ground” at all times in order to preserve the integrity of the reservoir.   Gas which is injected and withdrawn over and above the cushion gas levels is often referred to as the working gas.  A large total capacity and large cushion gas requirement characterize reservoir storage.  Reservoir facilities generally take months to fill and to withdraw gas, so the annual turnover is about one.  Due to these characteristics the value associated with reservoir storage comes mostly from the summer/winter spread.  Salt dome storage, on the other hand, is complementary to the reservoir storage in terms of capacity and deliverability.  Salt dome storage typically has a storage capacity far below that of  a reservoir facility, but the annual turnover rate of gas can be 3 to 4 times.  Therefore salt dome storage is operated in another extreme: capturing value from the short-term volatility of gas prices.  One measure which differentiates the two operating conditions is the ratio between the maximal daily injection/ withdraw quantity versus the total capacity or total working gas, hereafter we call it the flexibility ratio.  The reservoir storage has a lower flexibility ratio while the salt dome storage has a higher flexibility ratio.  It is our objective in this paper to develop a model that can handle the valuation for both types of storage. </w:t>
      </w:r>
    </w:p>
    <w:p>
      <w:pPr>
        <w:pStyle w:val="Normal"/>
        <w:widowControl/>
        <w:rPr/>
      </w:pPr>
      <w:r>
        <w:rPr/>
      </w:r>
    </w:p>
    <w:p>
      <w:pPr>
        <w:pStyle w:val="Normal"/>
        <w:widowControl/>
        <w:rPr/>
      </w:pPr>
      <w:r>
        <w:rPr/>
        <w:t xml:space="preserve">The value of a storage facility can be roughly approximated as a series of spread options between the inter-season (summer-winter) and intra-season (within summer, for instance) spreads. However, a more exact valuation of the storage flexibility has presented a formidable challenge. First, since a key component of value is derived from the inter-seasonal spread between the gas prices in injection and withdraws periods an adequate model for the forward price curve movements is mandatory.  The high dimensionality associated with storage valuation immediately imposes a challenge for computation.  Second, in the traditional options pricing framework, we face price uncertainty but not quantity uncertainty.  With storage, the quantity of available options going forward is a function of the quantity of working gas in place at each point in time.  How to “allocate” gas in storage across time is critical to the value. Optimal decisions for injection and withdrawal lead to the maximal value and result in the best operating strategy.  Storage has its own physical constraints, for instance, the injectabilty (withdraw-ability) decreases as the gas volume in storage increases (decreases) and there is a limit for how much gas can be injected (withdrawn) on a given day. These physical restrictions make the valuation problem path dependent. Finally, gas storage provides real options. Its value depends on who owns and operates it. </w:t>
      </w:r>
    </w:p>
    <w:p>
      <w:pPr>
        <w:pStyle w:val="Normal"/>
        <w:widowControl/>
        <w:rPr/>
      </w:pPr>
      <w:r>
        <w:rPr/>
      </w:r>
    </w:p>
    <w:p>
      <w:pPr>
        <w:pStyle w:val="Normal"/>
        <w:widowControl/>
        <w:rPr/>
      </w:pPr>
      <w:r>
        <w:rPr/>
        <w:t xml:space="preserve">Our approach to the valuation combines several technologies in derivatives pricing. We use a multi-factor Heath-Jarrow-Morton (HJM) process to model the forward price curve movements.  Under the HJM framework, the forward curve is modeled as a single object. The reshaping of the forward curve can be explained by a few factors. For example, three factors known as “level”, “steepness” and “curvature,” explain up to 99% of the forward curve variation.  The spot price, which starts at the level of the corresponding maturing forward price, is simulated with correlation to the prompt month forward price.  Once we have generated the evolution of the prices, we build a multi-dimensional tree by employing an American Monte-Carlo (AMC) technique.  The state variables are the spot price and the prompt month forward price.   The prompt month price and shape of the entire forward curve have a great impact on the option value.  All gas purchases and sales are done at the spot price. </w:t>
      </w:r>
    </w:p>
    <w:p>
      <w:pPr>
        <w:pStyle w:val="Normal"/>
        <w:widowControl/>
        <w:rPr/>
      </w:pPr>
      <w:r>
        <w:rPr/>
      </w:r>
    </w:p>
    <w:p>
      <w:pPr>
        <w:pStyle w:val="Normal"/>
        <w:widowControl/>
        <w:rPr/>
      </w:pPr>
      <w:r>
        <w:rPr/>
        <w:t xml:space="preserve">The organization of this paper is as follows.  The storage valuation method is presented in Section 2.   An explanation of model inputs and valuation results are discussed in Section 3. </w:t>
      </w:r>
    </w:p>
    <w:p>
      <w:pPr>
        <w:pStyle w:val="Normal"/>
        <w:widowControl/>
        <w:rPr/>
      </w:pPr>
      <w:r>
        <w:rPr/>
      </w:r>
    </w:p>
    <w:p>
      <w:pPr>
        <w:pStyle w:val="Normal"/>
        <w:widowControl/>
        <w:rPr/>
      </w:pPr>
      <w:r>
        <w:rPr/>
      </w:r>
    </w:p>
    <w:p>
      <w:pPr>
        <w:pStyle w:val="Normal"/>
        <w:widowControl/>
        <w:rPr/>
      </w:pPr>
      <w:r>
        <w:rPr/>
      </w:r>
    </w:p>
    <w:p>
      <w:pPr>
        <w:pStyle w:val="Normal"/>
        <w:widowControl/>
        <w:numPr>
          <w:ilvl w:val="0"/>
          <w:numId w:val="2"/>
        </w:numPr>
        <w:rPr>
          <w:b/>
        </w:rPr>
      </w:pPr>
      <w:r>
        <w:rPr>
          <w:b/>
        </w:rPr>
        <w:t xml:space="preserve">          </w:t>
      </w:r>
      <w:r>
        <w:rPr>
          <w:b/>
        </w:rPr>
        <w:t>Valuation Formulation</w:t>
      </w:r>
    </w:p>
    <w:p>
      <w:pPr>
        <w:pStyle w:val="Normal"/>
        <w:widowControl/>
        <w:rPr>
          <w:b/>
        </w:rPr>
      </w:pPr>
      <w:r>
        <w:rPr>
          <w:b/>
        </w:rPr>
      </w:r>
    </w:p>
    <w:p>
      <w:pPr>
        <w:pStyle w:val="Normal"/>
        <w:widowControl/>
        <w:rPr/>
      </w:pPr>
      <w:r>
        <w:rPr/>
        <w:t xml:space="preserve">In this Section, we formulate the strategy for storage valuation.   We will discuss forward curve modeling, spot price simulation, and the American Monte-Carlo techniques which were employed. </w:t>
      </w:r>
    </w:p>
    <w:p>
      <w:pPr>
        <w:pStyle w:val="Normal"/>
        <w:widowControl/>
        <w:rPr>
          <w:b/>
        </w:rPr>
      </w:pPr>
      <w:r>
        <w:rPr>
          <w:b/>
        </w:rPr>
      </w:r>
    </w:p>
    <w:p>
      <w:pPr>
        <w:pStyle w:val="Normal"/>
        <w:widowControl/>
        <w:rPr>
          <w:b/>
        </w:rPr>
      </w:pPr>
      <w:r>
        <w:rPr>
          <w:b/>
        </w:rPr>
      </w:r>
    </w:p>
    <w:p>
      <w:pPr>
        <w:pStyle w:val="Normal"/>
        <w:widowControl/>
        <w:rPr>
          <w:b/>
        </w:rPr>
      </w:pPr>
      <w:r>
        <w:rPr>
          <w:b/>
        </w:rPr>
        <w:t>II.1             Forward Curve Modeling</w:t>
      </w:r>
    </w:p>
    <w:p>
      <w:pPr>
        <w:pStyle w:val="Normal"/>
        <w:widowControl/>
        <w:rPr>
          <w:b/>
        </w:rPr>
      </w:pPr>
      <w:r>
        <w:rPr>
          <w:b/>
        </w:rPr>
      </w:r>
    </w:p>
    <w:p>
      <w:pPr>
        <w:pStyle w:val="Normal"/>
        <w:widowControl/>
        <w:rPr/>
      </w:pPr>
      <w:r>
        <w:rPr/>
        <w:t xml:space="preserve">We use the Heath-Jarrow-Morton (HJM) technique to model the forward curve movements.  In this model, the forward curve starts from the current term structure of forward prices, it is then perturbed by several basic factors. The first one corresponds roughly to a parallel shift term which moves the entire forward curve in the same direction.  Information that changes the perceptions of the long term supply/demand balance for gas, for instance, could produce a parallel shift. The second factor changes the slope of the forward curve, making the forward curve go more in contango (upward sloping as a function of delivery period) or more backwardated (prices decreasing from nearby to more distant delivery dates).  This type of re-shaping is often driven by short term price shocks which affect primarily the nearby months while leaving the more distant forward prices relatively unchanged.  The third force is referred to as twisting, This factor bends the forward curve, changing its curvature.  A gas supply shortage in medium term would produce a contango in the front of the curve and backwardation in the back of the curve, will fall into this category.   Using a random combination of these factors, we can model the forward curve movements in a correlated manner. </w:t>
      </w:r>
    </w:p>
    <w:p>
      <w:pPr>
        <w:pStyle w:val="Normal"/>
        <w:widowControl/>
        <w:rPr/>
      </w:pPr>
      <w:r>
        <w:rPr/>
      </w:r>
    </w:p>
    <w:p>
      <w:pPr>
        <w:pStyle w:val="Normal"/>
        <w:widowControl/>
        <w:rPr/>
      </w:pPr>
      <w:r>
        <w:rPr/>
        <w:t xml:space="preserve">Let </w:t>
      </w:r>
      <w:r>
        <w:rPr/>
      </w:r>
      <m:oMath xmlns:m="http://schemas.openxmlformats.org/officeDocument/2006/math">
        <m:r>
          <m:t xml:space="preserve">F</m:t>
        </m:r>
        <m:r>
          <m:t xml:space="preserve">(</m:t>
        </m:r>
        <m:r>
          <m:t xml:space="preserve">t</m:t>
        </m:r>
        <m:r>
          <m:t xml:space="preserve">,</m:t>
        </m:r>
        <m:sSub>
          <m:e>
            <m:r>
              <m:t xml:space="preserve">T</m:t>
            </m:r>
          </m:e>
          <m:sub>
            <m:r>
              <m:t xml:space="preserve">i</m:t>
            </m:r>
          </m:sub>
        </m:sSub>
        <m:r>
          <m:t xml:space="preserve">)</m:t>
        </m:r>
      </m:oMath>
      <w:r>
        <w:rPr/>
        <w:t xml:space="preserve"> be the forward price at time </w:t>
      </w:r>
      <w:r>
        <w:rPr/>
      </w:r>
      <m:oMath xmlns:m="http://schemas.openxmlformats.org/officeDocument/2006/math">
        <m:r>
          <m:t xml:space="preserve">t</m:t>
        </m:r>
      </m:oMath>
      <w:r>
        <w:rPr/>
        <w:t xml:space="preserve">, maturing at time </w:t>
      </w:r>
      <w:r>
        <w:rPr/>
      </w:r>
      <m:oMath xmlns:m="http://schemas.openxmlformats.org/officeDocument/2006/math">
        <m:sSub>
          <m:e>
            <m:r>
              <m:t xml:space="preserve">T</m:t>
            </m:r>
          </m:e>
          <m:sub>
            <m:r>
              <m:t xml:space="preserve">i</m:t>
            </m:r>
          </m:sub>
        </m:sSub>
      </m:oMath>
      <w:r>
        <w:rPr/>
        <w:t xml:space="preserve"> with </w:t>
      </w:r>
      <w:r>
        <w:rPr/>
      </w:r>
      <m:oMath xmlns:m="http://schemas.openxmlformats.org/officeDocument/2006/math">
        <m:r>
          <m:t xml:space="preserve">t</m:t>
        </m:r>
        <m:r>
          <m:t xml:space="preserve">≤</m:t>
        </m:r>
        <m:sSub>
          <m:e>
            <m:r>
              <m:t xml:space="preserve">T</m:t>
            </m:r>
          </m:e>
          <m:sub>
            <m:r>
              <m:t xml:space="preserve">i</m:t>
            </m:r>
          </m:sub>
        </m:sSub>
      </m:oMath>
      <w:r>
        <w:rPr/>
        <w:t xml:space="preserve">.  Under the HJM framework, the time evolution of the forward prices follows </w:t>
      </w:r>
    </w:p>
    <w:p>
      <w:pPr>
        <w:pStyle w:val="Normal"/>
        <w:widowControl/>
        <w:rPr/>
      </w:pPr>
      <w:r>
        <w:rPr/>
      </w:r>
      <m:oMath xmlns:m="http://schemas.openxmlformats.org/officeDocument/2006/math">
        <m:r>
          <m:t xml:space="preserve">F</m:t>
        </m:r>
        <m:r>
          <m:t xml:space="preserve">(</m:t>
        </m:r>
        <m:r>
          <m:t xml:space="preserve">t</m:t>
        </m:r>
        <m:r>
          <m:t xml:space="preserve">+</m:t>
        </m:r>
        <m:r>
          <m:t xml:space="preserve">Δt</m:t>
        </m:r>
        <m:r>
          <m:t xml:space="preserve">,</m:t>
        </m:r>
        <m:sSub>
          <m:e>
            <m:r>
              <m:t xml:space="preserve">T</m:t>
            </m:r>
          </m:e>
          <m:sub>
            <m:r>
              <m:t xml:space="preserve">i</m:t>
            </m:r>
          </m:sub>
        </m:sSub>
        <m:r>
          <m:t xml:space="preserve">)</m:t>
        </m:r>
        <m:r>
          <m:t xml:space="preserve">=</m:t>
        </m:r>
        <m:r>
          <m:t xml:space="preserve">F</m:t>
        </m:r>
        <m:r>
          <m:t xml:space="preserve">(</m:t>
        </m:r>
        <m:r>
          <m:t xml:space="preserve">t</m:t>
        </m:r>
        <m:r>
          <m:t xml:space="preserve">,</m:t>
        </m:r>
        <m:sSub>
          <m:e>
            <m:r>
              <m:t xml:space="preserve">T</m:t>
            </m:r>
          </m:e>
          <m:sub>
            <m:r>
              <m:t xml:space="preserve">i</m:t>
            </m:r>
          </m:sub>
        </m:sSub>
        <m:r>
          <m:t xml:space="preserve">)</m:t>
        </m:r>
        <m:r>
          <m:rPr>
            <m:lit/>
            <m:nor/>
          </m:rPr>
          <m:t xml:space="preserve">exp</m:t>
        </m:r>
        <m:r>
          <m:t xml:space="preserve">(</m:t>
        </m:r>
        <m:r>
          <m:t xml:space="preserve">−</m:t>
        </m:r>
        <m:f>
          <m:num>
            <m:r>
              <m:t xml:space="preserve">1</m:t>
            </m:r>
          </m:num>
          <m:den>
            <m:r>
              <m:t xml:space="preserve">2</m:t>
            </m:r>
          </m:den>
        </m:f>
        <m:nary>
          <m:naryPr>
            <m:chr m:val="∑"/>
          </m:naryPr>
          <m:sub>
            <m:r>
              <m:t xml:space="preserve">k</m:t>
            </m:r>
            <m:r>
              <m:t xml:space="preserve">=</m:t>
            </m:r>
            <m:r>
              <m:t xml:space="preserve">1</m:t>
            </m:r>
          </m:sub>
          <m:sup>
            <m:r>
              <m:t xml:space="preserve">n</m:t>
            </m:r>
          </m:sup>
          <m:e>
            <m:sSup>
              <m:e>
                <m:r>
                  <m:t xml:space="preserve">L</m:t>
                </m:r>
              </m:e>
              <m:sup>
                <m:sSub>
                  <m:e>
                    <m:r>
                      <m:t xml:space="preserve">2</m:t>
                    </m:r>
                  </m:e>
                  <m:sub>
                    <m:r>
                      <m:rPr>
                        <m:lit/>
                        <m:nor/>
                      </m:rPr>
                      <m:t xml:space="preserve">ik</m:t>
                    </m:r>
                  </m:sub>
                </m:sSub>
              </m:sup>
            </m:sSup>
            <m:r>
              <m:t xml:space="preserve">Δt</m:t>
            </m:r>
          </m:e>
        </m:nary>
        <m:r>
          <m:t xml:space="preserve">+</m:t>
        </m:r>
        <m:nary>
          <m:naryPr>
            <m:chr m:val="∑"/>
          </m:naryPr>
          <m:sub>
            <m:r>
              <m:t xml:space="preserve">k</m:t>
            </m:r>
            <m:r>
              <m:t xml:space="preserve">=</m:t>
            </m:r>
            <m:r>
              <m:t xml:space="preserve">1</m:t>
            </m:r>
          </m:sub>
          <m:sup>
            <m:r>
              <m:t xml:space="preserve">n</m:t>
            </m:r>
          </m:sup>
          <m:e>
            <m:sSub>
              <m:e>
                <m:r>
                  <m:t xml:space="preserve">L</m:t>
                </m:r>
              </m:e>
              <m:sub>
                <m:r>
                  <m:rPr>
                    <m:lit/>
                    <m:nor/>
                  </m:rPr>
                  <m:t xml:space="preserve">ik</m:t>
                </m:r>
              </m:sub>
            </m:sSub>
            <m:rad>
              <m:radPr>
                <m:degHide m:val="1"/>
              </m:radPr>
              <m:deg/>
              <m:e>
                <m:r>
                  <m:t xml:space="preserve">Δt</m:t>
                </m:r>
              </m:e>
            </m:rad>
          </m:e>
        </m:nary>
        <m:sSub>
          <m:e>
            <m:r>
              <m:t xml:space="preserve">χ</m:t>
            </m:r>
          </m:e>
          <m:sub>
            <m:r>
              <m:t xml:space="preserve">k</m:t>
            </m:r>
          </m:sub>
        </m:sSub>
        <m:r>
          <m:t xml:space="preserve">(</m:t>
        </m:r>
        <m:r>
          <m:t xml:space="preserve">t</m:t>
        </m:r>
        <m:r>
          <m:t xml:space="preserve">)</m:t>
        </m:r>
        <m:r>
          <m:t xml:space="preserve">)</m:t>
        </m:r>
      </m:oMath>
      <w:r>
        <w:rPr/>
        <w:t xml:space="preserve">,   </w:t>
      </w:r>
      <w:r>
        <w:rPr/>
      </w:r>
      <m:oMath xmlns:m="http://schemas.openxmlformats.org/officeDocument/2006/math">
        <m:r>
          <m:t xml:space="preserve">i</m:t>
        </m:r>
        <m:r>
          <m:t xml:space="preserve">=</m:t>
        </m:r>
        <m:r>
          <m:t xml:space="preserve">1,2</m:t>
        </m:r>
        <m:r>
          <m:t xml:space="preserve">,</m:t>
        </m:r>
        <m:r>
          <m:rPr>
            <m:lit/>
            <m:nor/>
          </m:rPr>
          <m:t xml:space="preserve">.</m:t>
        </m:r>
        <m:r>
          <m:rPr>
            <m:lit/>
            <m:nor/>
          </m:rPr>
          <m:t xml:space="preserve">.</m:t>
        </m:r>
        <m:r>
          <m:rPr>
            <m:lit/>
            <m:nor/>
          </m:rPr>
          <m:t xml:space="preserve">.</m:t>
        </m:r>
        <m:r>
          <m:t xml:space="preserve">N</m:t>
        </m:r>
      </m:oMath>
      <w:r>
        <w:rPr/>
        <w:t>,                        (1)</w:t>
      </w:r>
    </w:p>
    <w:p>
      <w:pPr>
        <w:pStyle w:val="Normal"/>
        <w:widowControl/>
        <w:rPr/>
      </w:pPr>
      <w:r>
        <w:rPr/>
        <w:t xml:space="preserve">where  </w:t>
      </w:r>
      <w:r>
        <w:rPr>
          <w:i/>
        </w:rPr>
        <w:t>n</w:t>
      </w:r>
      <w:r>
        <w:rPr/>
        <w:t xml:space="preserve"> is the number of factors, </w:t>
      </w:r>
      <w:r>
        <w:rPr/>
      </w:r>
      <m:oMath xmlns:m="http://schemas.openxmlformats.org/officeDocument/2006/math">
        <m:r>
          <m:t xml:space="preserve">(</m:t>
        </m:r>
        <m:sSub>
          <m:e>
            <m:r>
              <m:t xml:space="preserve">L</m:t>
            </m:r>
          </m:e>
          <m:sub>
            <m:r>
              <m:rPr>
                <m:lit/>
                <m:nor/>
              </m:rPr>
              <m:t xml:space="preserve">ik</m:t>
            </m:r>
          </m:sub>
        </m:sSub>
        <m:sSub>
          <m:e>
            <m:r>
              <m:t xml:space="preserve">)</m:t>
            </m:r>
          </m:e>
          <m:sub>
            <m:r>
              <m:rPr>
                <m:lit/>
                <m:nor/>
              </m:rPr>
              <m:t xml:space="preserve">Nxn</m:t>
            </m:r>
          </m:sub>
        </m:sSub>
      </m:oMath>
      <w:r>
        <w:rPr/>
        <w:t xml:space="preserve"> are the factor loadings, and </w:t>
      </w:r>
      <w:r>
        <w:rPr/>
      </w:r>
      <m:oMath xmlns:m="http://schemas.openxmlformats.org/officeDocument/2006/math">
        <m:sSub>
          <m:e>
            <m:r>
              <m:t xml:space="preserve">χ</m:t>
            </m:r>
          </m:e>
          <m:sub>
            <m:r>
              <m:t xml:space="preserve">k</m:t>
            </m:r>
          </m:sub>
        </m:sSub>
        <m:r>
          <m:t xml:space="preserve">(</m:t>
        </m:r>
        <m:r>
          <m:t xml:space="preserve">t</m:t>
        </m:r>
        <m:r>
          <m:t xml:space="preserve">)</m:t>
        </m:r>
        <m:r>
          <m:t xml:space="preserve">⊂</m:t>
        </m:r>
        <m:r>
          <m:t xml:space="preserve">N</m:t>
        </m:r>
        <m:r>
          <m:t xml:space="preserve">(</m:t>
        </m:r>
        <m:r>
          <m:t xml:space="preserve">0,1</m:t>
        </m:r>
        <m:r>
          <m:t xml:space="preserve">)</m:t>
        </m:r>
      </m:oMath>
      <w:r>
        <w:rPr/>
        <w:t xml:space="preserve">. </w:t>
      </w:r>
    </w:p>
    <w:p>
      <w:pPr>
        <w:pStyle w:val="Normal"/>
        <w:widowControl/>
        <w:rPr/>
      </w:pPr>
      <w:r>
        <w:rPr/>
        <w:t xml:space="preserve">Figure 1 illustrates the three leading factors for natural gas as function of the maturity, which are estimated from the historical NYMEX futures prices.  The level factor has no node, shifting the entire curve in the same direction. The slope factor has one node, shifting the front of curve in the opposite direction compared to the back (long dated forward) of the curve, therefore it changes the slope of the curve.  The curvature factor has two nodes, shifting the middle of the curve in the opposite direction compared to the front and the back of the curve, resulting to a change of the curvature.  A combination of these three random perturbations can give wide range of possible forward curve movements. </w:t>
      </w:r>
    </w:p>
    <w:p>
      <w:pPr>
        <w:pStyle w:val="Normal"/>
        <w:widowControl/>
        <w:rPr>
          <w:lang w:val="en-CA"/>
        </w:rPr>
      </w:pPr>
      <w:r>
        <w:rPr>
          <w:lang w:val="en-CA"/>
        </w:rPr>
        <w:object w:dxaOrig="7350" w:dyaOrig="42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1.2pt;width:367.5pt;height:213.05pt;mso-wrap-distance-left:9.05pt;mso-wrap-distance-right:9.05pt;mso-position-horizontal-relative:text;mso-position-vertical-relative:text" filled="f" o:ole="">
            <v:imagedata r:id="rId3" o:title=""/>
          </v:shape>
          <o:OLEObject Type="Embed" ProgID="" ShapeID="ole_rId2" DrawAspect="Content" ObjectID="_1166021696" r:id="rId2"/>
        </w:objec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xml:space="preserve">    </w:t>
      </w:r>
      <w:r>
        <w:rPr/>
        <w:tab/>
        <w:t>Fig. 1. Nature gas factor of loadings.</w:t>
      </w:r>
    </w:p>
    <w:p>
      <w:pPr>
        <w:pStyle w:val="Normal"/>
        <w:widowControl/>
        <w:rPr/>
      </w:pPr>
      <w:r>
        <w:rPr/>
      </w:r>
    </w:p>
    <w:p>
      <w:pPr>
        <w:pStyle w:val="Normal"/>
        <w:widowControl/>
        <w:rPr/>
      </w:pPr>
      <w:r>
        <w:rPr/>
      </w:r>
    </w:p>
    <w:p>
      <w:pPr>
        <w:pStyle w:val="Normal"/>
        <w:widowControl/>
        <w:rPr/>
      </w:pPr>
      <w:r>
        <w:rPr/>
      </w:r>
    </w:p>
    <w:p>
      <w:pPr>
        <w:pStyle w:val="Normal"/>
        <w:widowControl/>
        <w:rPr>
          <w:b/>
        </w:rPr>
      </w:pPr>
      <w:r>
        <w:rPr>
          <w:b/>
        </w:rPr>
        <w:t>II. 2            Spot Price Process</w:t>
      </w:r>
    </w:p>
    <w:p>
      <w:pPr>
        <w:pStyle w:val="Normal"/>
        <w:widowControl/>
        <w:rPr>
          <w:b/>
        </w:rPr>
      </w:pPr>
      <w:r>
        <w:rPr>
          <w:b/>
        </w:rPr>
      </w:r>
    </w:p>
    <w:p>
      <w:pPr>
        <w:pStyle w:val="Normal"/>
        <w:ind w:end="-180"/>
        <w:rPr/>
      </w:pPr>
      <w:r>
        <w:rPr/>
        <w:t xml:space="preserve">We use HJM technology to simulate forward prices. At any given time in the future, we have a prompt month price, a prompt+1 month price, and so on.  Since we do not have a daily maturing forward contract, we need to model the spot price separately.  Here we describe the chosen spot price process. </w:t>
      </w:r>
    </w:p>
    <w:p>
      <w:pPr>
        <w:pStyle w:val="Normal"/>
        <w:ind w:end="-180"/>
        <w:rPr/>
      </w:pPr>
      <w:r>
        <w:rPr/>
      </w:r>
    </w:p>
    <w:p>
      <w:pPr>
        <w:pStyle w:val="Normal"/>
        <w:ind w:end="-180"/>
        <w:rPr/>
      </w:pPr>
      <w:r>
        <w:rPr/>
      </w:r>
    </w:p>
    <w:p>
      <w:pPr>
        <w:pStyle w:val="Normal"/>
        <w:ind w:end="-180"/>
        <w:rPr/>
      </w:pPr>
      <w:r>
        <w:rPr/>
        <w:t xml:space="preserve">Since the term structure of the forward curve contains information about seasonality.  We linearly interpolate the forward curve to zero maturity, hence obtain the “zeroth order spot price” </w:t>
      </w:r>
      <w:r>
        <w:rPr>
          <w:i/>
        </w:rPr>
        <w:t>F</w:t>
      </w:r>
      <w:r>
        <w:rPr>
          <w:vertAlign w:val="subscript"/>
        </w:rPr>
        <w:t>0</w:t>
      </w:r>
      <w:r>
        <w:rPr/>
        <w:t xml:space="preserve"> as follows,</w:t>
      </w:r>
    </w:p>
    <w:p>
      <w:pPr>
        <w:pStyle w:val="Normal"/>
        <w:ind w:end="-180"/>
        <w:rPr/>
      </w:pPr>
      <w:r>
        <w:rPr/>
      </w:r>
      <m:oMath xmlns:m="http://schemas.openxmlformats.org/officeDocument/2006/math">
        <m:sSub>
          <m:e>
            <m:r>
              <m:t xml:space="preserve">F</m:t>
            </m:r>
          </m:e>
          <m:sub>
            <m:r>
              <m:t xml:space="preserve">0</m:t>
            </m:r>
            <m:r>
              <m:t xml:space="preserve">t</m:t>
            </m:r>
          </m:sub>
        </m:sSub>
        <m:r>
          <m:t xml:space="preserve">=</m:t>
        </m:r>
        <m:sSub>
          <m:e>
            <m:r>
              <m:t xml:space="preserve">F</m:t>
            </m:r>
          </m:e>
          <m:sub>
            <m:r>
              <m:t xml:space="preserve">1</m:t>
            </m:r>
            <m:r>
              <m:t xml:space="preserve">t</m:t>
            </m:r>
          </m:sub>
        </m:sSub>
        <m:r>
          <m:t xml:space="preserve">+</m:t>
        </m:r>
        <m:f>
          <m:num>
            <m:r>
              <m:t xml:space="preserve">(</m:t>
            </m:r>
            <m:r>
              <m:t xml:space="preserve">t</m:t>
            </m:r>
            <m:r>
              <m:t xml:space="preserve">−</m:t>
            </m:r>
            <m:sSub>
              <m:e>
                <m:r>
                  <m:t xml:space="preserve">T</m:t>
                </m:r>
              </m:e>
              <m:sub>
                <m:r>
                  <m:t xml:space="preserve">1</m:t>
                </m:r>
              </m:sub>
            </m:sSub>
            <m:r>
              <m:t xml:space="preserve">)</m:t>
            </m:r>
          </m:num>
          <m:den>
            <m:r>
              <m:t xml:space="preserve">(</m:t>
            </m:r>
            <m:sSub>
              <m:e>
                <m:r>
                  <m:t xml:space="preserve">T</m:t>
                </m:r>
              </m:e>
              <m:sub>
                <m:r>
                  <m:t xml:space="preserve">2</m:t>
                </m:r>
              </m:sub>
            </m:sSub>
            <m:r>
              <m:t xml:space="preserve">−</m:t>
            </m:r>
            <m:sSub>
              <m:e>
                <m:r>
                  <m:t xml:space="preserve">T</m:t>
                </m:r>
              </m:e>
              <m:sub>
                <m:r>
                  <m:t xml:space="preserve">1</m:t>
                </m:r>
              </m:sub>
            </m:sSub>
            <m:r>
              <m:t xml:space="preserve">)</m:t>
            </m:r>
          </m:den>
        </m:f>
        <m:r>
          <m:t xml:space="preserve">(</m:t>
        </m:r>
        <m:sSub>
          <m:e>
            <m:r>
              <m:t xml:space="preserve">F</m:t>
            </m:r>
          </m:e>
          <m:sub>
            <m:r>
              <m:t xml:space="preserve">2</m:t>
            </m:r>
            <m:r>
              <m:t xml:space="preserve">t</m:t>
            </m:r>
          </m:sub>
        </m:sSub>
        <m:r>
          <m:t xml:space="preserve">−</m:t>
        </m:r>
        <m:sSub>
          <m:e>
            <m:r>
              <m:t xml:space="preserve">F</m:t>
            </m:r>
          </m:e>
          <m:sub>
            <m:r>
              <m:t xml:space="preserve">1</m:t>
            </m:r>
            <m:r>
              <m:t xml:space="preserve">t</m:t>
            </m:r>
          </m:sub>
        </m:sSub>
        <m:r>
          <m:t xml:space="preserve">)</m:t>
        </m:r>
      </m:oMath>
      <w:r>
        <w:rPr/>
        <w:t>,</w:t>
        <w:tab/>
        <w:tab/>
        <w:tab/>
        <w:tab/>
        <w:tab/>
        <w:tab/>
        <w:t xml:space="preserve">               (2)</w:t>
      </w:r>
    </w:p>
    <w:p>
      <w:pPr>
        <w:pStyle w:val="Normal"/>
        <w:ind w:end="-180"/>
        <w:rPr/>
      </w:pPr>
      <w:r>
        <w:rPr/>
      </w:r>
    </w:p>
    <w:p>
      <w:pPr>
        <w:pStyle w:val="Normal"/>
        <w:ind w:end="-180"/>
        <w:rPr>
          <w:color w:val="FF0000"/>
        </w:rPr>
      </w:pPr>
      <w:r>
        <w:rPr/>
        <w:t xml:space="preserve">where the spot price is </w:t>
      </w:r>
      <w:r>
        <w:rPr>
          <w:i/>
        </w:rPr>
        <w:t>F</w:t>
      </w:r>
      <w:r>
        <w:rPr>
          <w:vertAlign w:val="subscript"/>
        </w:rPr>
        <w:t>0</w:t>
      </w:r>
      <w:r>
        <w:rPr/>
        <w:t xml:space="preserve">, prompt is </w:t>
      </w:r>
      <w:r>
        <w:rPr>
          <w:i/>
        </w:rPr>
        <w:t>F</w:t>
      </w:r>
      <w:r>
        <w:rPr>
          <w:vertAlign w:val="subscript"/>
        </w:rPr>
        <w:t>1</w:t>
      </w:r>
      <w:r>
        <w:rPr/>
        <w:t xml:space="preserve"> ,prompt+1 is </w:t>
      </w:r>
      <w:r>
        <w:rPr>
          <w:i/>
        </w:rPr>
        <w:t>F</w:t>
      </w:r>
      <w:r>
        <w:rPr>
          <w:vertAlign w:val="subscript"/>
        </w:rPr>
        <w:t>2</w:t>
      </w:r>
      <w:r>
        <w:rPr/>
        <w:t xml:space="preserve">,  and </w:t>
      </w:r>
      <w:r>
        <w:rPr/>
      </w:r>
      <m:oMath xmlns:m="http://schemas.openxmlformats.org/officeDocument/2006/math">
        <m:sSub>
          <m:e>
            <m:r>
              <m:t xml:space="preserve">T</m:t>
            </m:r>
          </m:e>
          <m:sub>
            <m:r>
              <m:t xml:space="preserve">1</m:t>
            </m:r>
          </m:sub>
        </m:sSub>
        <m:r>
          <m:t xml:space="preserve">,</m:t>
        </m:r>
        <m:sSub>
          <m:e>
            <m:r>
              <m:t xml:space="preserve">T</m:t>
            </m:r>
          </m:e>
          <m:sub>
            <m:r>
              <m:t xml:space="preserve">2</m:t>
            </m:r>
          </m:sub>
        </m:sSub>
      </m:oMath>
      <w:r>
        <w:rPr/>
        <w:t>are maturities for the prompt amd prompt+1 contracts, respectively.</w:t>
      </w:r>
    </w:p>
    <w:p>
      <w:pPr>
        <w:pStyle w:val="Normal"/>
        <w:ind w:end="-180"/>
        <w:rPr>
          <w:color w:val="FF0000"/>
        </w:rPr>
      </w:pPr>
      <w:r>
        <w:rPr>
          <w:color w:val="FF0000"/>
        </w:rPr>
      </w:r>
    </w:p>
    <w:p>
      <w:pPr>
        <w:pStyle w:val="Normal"/>
        <w:ind w:end="-180"/>
        <w:rPr/>
      </w:pPr>
      <w:r>
        <w:rPr/>
        <w:t xml:space="preserve">In Fig. 2 we plot the spot price, </w:t>
      </w:r>
      <w:r>
        <w:rPr>
          <w:i/>
        </w:rPr>
        <w:t>F</w:t>
      </w:r>
      <w:r>
        <w:rPr>
          <w:vertAlign w:val="subscript"/>
        </w:rPr>
        <w:t>0</w:t>
      </w:r>
      <w:r>
        <w:rPr/>
        <w:t>, prompt (</w:t>
      </w:r>
      <w:r>
        <w:rPr>
          <w:i/>
        </w:rPr>
        <w:t>F</w:t>
      </w:r>
      <w:r>
        <w:rPr>
          <w:vertAlign w:val="subscript"/>
        </w:rPr>
        <w:t>1</w:t>
      </w:r>
      <w:r>
        <w:rPr/>
        <w:t>) , and prompt+1 (</w:t>
      </w:r>
      <w:r>
        <w:rPr>
          <w:i/>
        </w:rPr>
        <w:t>F</w:t>
      </w:r>
      <w:r>
        <w:rPr>
          <w:vertAlign w:val="subscript"/>
        </w:rPr>
        <w:t>2</w:t>
      </w:r>
      <w:r>
        <w:rPr/>
        <w:t xml:space="preserve">)  prices. It shows that </w:t>
      </w:r>
      <w:r>
        <w:rPr/>
      </w:r>
      <m:oMath xmlns:m="http://schemas.openxmlformats.org/officeDocument/2006/math">
        <m:sSub>
          <m:e>
            <m:r>
              <m:t xml:space="preserve">F</m:t>
            </m:r>
          </m:e>
          <m:sub>
            <m:r>
              <m:t xml:space="preserve">0</m:t>
            </m:r>
            <m:r>
              <m:t xml:space="preserve">t</m:t>
            </m:r>
          </m:sub>
        </m:sSub>
      </m:oMath>
      <w:r>
        <w:rPr/>
        <w:t xml:space="preserve"> is a better predictor of the spot price. </w:t>
      </w:r>
    </w:p>
    <w:p>
      <w:pPr>
        <w:pStyle w:val="Normal"/>
        <w:ind w:end="-180"/>
        <w:rPr/>
      </w:pPr>
      <w:r>
        <w:rPr/>
      </w:r>
      <w:r>
        <mc:AlternateContent>
          <mc:Choice Requires="wps">
            <w:drawing>
              <wp:anchor behindDoc="0" distT="0" distB="0" distL="114300" distR="114300" simplePos="0" locked="0" layoutInCell="0" allowOverlap="1" relativeHeight="13">
                <wp:simplePos x="0" y="0"/>
                <wp:positionH relativeFrom="column">
                  <wp:posOffset>-137160</wp:posOffset>
                </wp:positionH>
                <wp:positionV relativeFrom="paragraph">
                  <wp:posOffset>635</wp:posOffset>
                </wp:positionV>
                <wp:extent cx="5669280" cy="3034665"/>
                <wp:effectExtent l="0" t="0" r="0" b="0"/>
                <wp:wrapSquare wrapText="bothSides"/>
                <wp:docPr id="1" name="Frame1"/>
                <a:graphic xmlns:a="http://schemas.openxmlformats.org/drawingml/2006/main">
                  <a:graphicData uri="http://schemas.microsoft.com/office/word/2010/wordprocessingShape">
                    <wps:wsp>
                      <wps:cNvSpPr txBox="1"/>
                      <wps:spPr>
                        <a:xfrm>
                          <a:off x="0" y="0"/>
                          <a:ext cx="5669280" cy="3034665"/>
                        </a:xfrm>
                        <a:prstGeom prst="rect"/>
                        <a:solidFill>
                          <a:srgbClr val="FFFFFF">
                            <a:alpha val="0"/>
                          </a:srgbClr>
                        </a:solidFill>
                      </wps:spPr>
                      <wps:txbx>
                        <w:txbxContent>
                          <w:p>
                            <w:pPr>
                              <w:pStyle w:val="Normal"/>
                              <w:rPr>
                                <w:lang w:val="en-CA"/>
                              </w:rPr>
                            </w:pPr>
                            <w:r>
                              <w:rPr>
                                <w:lang w:val="en-CA"/>
                              </w:rPr>
                              <w:drawing>
                                <wp:inline distT="0" distB="0" distL="0" distR="0">
                                  <wp:extent cx="5485130" cy="2935605"/>
                                  <wp:effectExtent l="0" t="0" r="0" b="0"/>
                                  <wp:docPr id="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title=""/>
                                          <pic:cNvPicPr>
                                            <a:picLocks noChangeAspect="1" noChangeArrowheads="1"/>
                                          </pic:cNvPicPr>
                                        </pic:nvPicPr>
                                        <pic:blipFill>
                                          <a:blip r:embed="rId4"/>
                                          <a:srcRect l="-6" t="-12" r="-6" b="-12"/>
                                          <a:stretch>
                                            <a:fillRect/>
                                          </a:stretch>
                                        </pic:blipFill>
                                        <pic:spPr bwMode="auto">
                                          <a:xfrm>
                                            <a:off x="0" y="0"/>
                                            <a:ext cx="5485130" cy="293560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46.4pt;height:238.95pt;mso-wrap-distance-left:9pt;mso-wrap-distance-right:9pt;mso-wrap-distance-top:0pt;mso-wrap-distance-bottom:0pt;margin-top:0.05pt;mso-position-vertical-relative:text;margin-left:-10.8pt;mso-position-horizontal-relative:text">
                <v:fill opacity="0f"/>
                <v:textbox inset="0in,0in,0in,0in">
                  <w:txbxContent>
                    <w:p>
                      <w:pPr>
                        <w:pStyle w:val="Normal"/>
                        <w:rPr>
                          <w:lang w:val="en-CA"/>
                        </w:rPr>
                      </w:pPr>
                      <w:r>
                        <w:rPr>
                          <w:lang w:val="en-CA"/>
                        </w:rPr>
                        <w:drawing>
                          <wp:inline distT="0" distB="0" distL="0" distR="0">
                            <wp:extent cx="5485130" cy="2935605"/>
                            <wp:effectExtent l="0" t="0" r="0" b="0"/>
                            <wp:docPr id="3"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title=""/>
                                    <pic:cNvPicPr>
                                      <a:picLocks noChangeAspect="1" noChangeArrowheads="1"/>
                                    </pic:cNvPicPr>
                                  </pic:nvPicPr>
                                  <pic:blipFill>
                                    <a:blip r:embed="rId5"/>
                                    <a:srcRect l="-6" t="-12" r="-6" b="-12"/>
                                    <a:stretch>
                                      <a:fillRect/>
                                    </a:stretch>
                                  </pic:blipFill>
                                  <pic:spPr bwMode="auto">
                                    <a:xfrm>
                                      <a:off x="0" y="0"/>
                                      <a:ext cx="5485130" cy="2935605"/>
                                    </a:xfrm>
                                    <a:prstGeom prst="rect">
                                      <a:avLst/>
                                    </a:prstGeom>
                                    <a:noFill/>
                                  </pic:spPr>
                                </pic:pic>
                              </a:graphicData>
                            </a:graphic>
                          </wp:inline>
                        </w:drawing>
                      </w:r>
                    </w:p>
                  </w:txbxContent>
                </v:textbox>
                <w10:wrap type="square"/>
              </v:rect>
            </w:pict>
          </mc:Fallback>
        </mc:AlternateContent>
      </w:r>
    </w:p>
    <w:p>
      <w:pPr>
        <w:pStyle w:val="Normal"/>
        <w:ind w:end="-180"/>
        <w:rPr/>
      </w:pPr>
      <w:r>
        <w:rPr/>
        <w:t xml:space="preserve">Fig. 2.  Historical relationship between the NYMEX gas futures prices Prompt (F1) , Prompt plus one (F2) versus the spot prices (Henry Hub) and the zeroth order spot predictor F0. </w: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t>Based on historical data analysis, we propose the following process to model the spot price process of nature gas,</w:t>
      </w:r>
    </w:p>
    <w:p>
      <w:pPr>
        <w:pStyle w:val="Normal"/>
        <w:ind w:end="-180"/>
        <w:rPr/>
      </w:pPr>
      <w:r>
        <w:rPr/>
      </w:r>
    </w:p>
    <w:p>
      <w:pPr>
        <w:pStyle w:val="Normal"/>
        <w:ind w:end="-180"/>
        <w:rPr/>
      </w:pPr>
      <w:r>
        <w:rPr/>
      </w:r>
      <m:oMath xmlns:m="http://schemas.openxmlformats.org/officeDocument/2006/math">
        <m:sSub>
          <m:e>
            <m:r>
              <m:t xml:space="preserve">S</m:t>
            </m:r>
          </m:e>
          <m:sub>
            <m:r>
              <m:t xml:space="preserve">t</m:t>
            </m:r>
          </m:sub>
        </m:sSub>
        <m:r>
          <m:t xml:space="preserve">=</m:t>
        </m:r>
        <m:sSub>
          <m:e>
            <m:r>
              <m:t xml:space="preserve">F</m:t>
            </m:r>
          </m:e>
          <m:sub>
            <m:r>
              <m:t xml:space="preserve">0</m:t>
            </m:r>
            <m:r>
              <m:t xml:space="preserve">t</m:t>
            </m:r>
          </m:sub>
        </m:sSub>
        <m:r>
          <m:t xml:space="preserve">+</m:t>
        </m:r>
        <m:r>
          <m:t xml:space="preserve">s</m:t>
        </m:r>
        <m:r>
          <m:t xml:space="preserve">+</m:t>
        </m:r>
        <m:sSub>
          <m:e>
            <m:r>
              <m:t xml:space="preserve">D</m:t>
            </m:r>
          </m:e>
          <m:sub>
            <m:r>
              <m:t xml:space="preserve">t</m:t>
            </m:r>
          </m:sub>
        </m:sSub>
      </m:oMath>
      <w:r>
        <w:rPr/>
        <w:t>,</w:t>
        <w:tab/>
        <w:tab/>
        <w:tab/>
        <w:tab/>
        <w:tab/>
        <w:tab/>
        <w:tab/>
        <w:tab/>
        <w:tab/>
        <w:t xml:space="preserve">  (3)</w:t>
      </w:r>
    </w:p>
    <w:p>
      <w:pPr>
        <w:pStyle w:val="Normal"/>
        <w:ind w:end="-180"/>
        <w:rPr/>
      </w:pPr>
      <w:r>
        <w:rPr/>
      </w:r>
      <m:oMath xmlns:m="http://schemas.openxmlformats.org/officeDocument/2006/math">
        <m:sSub>
          <m:e>
            <m:r>
              <m:rPr>
                <m:lit/>
                <m:nor/>
              </m:rPr>
              <m:t xml:space="preserve">dD</m:t>
            </m:r>
          </m:e>
          <m:sub>
            <m:r>
              <m:t xml:space="preserve">t</m:t>
            </m:r>
          </m:sub>
        </m:sSub>
        <m:r>
          <m:t xml:space="preserve">=</m:t>
        </m:r>
      </m:oMath>
      <w:r>
        <w:rPr/>
      </w:r>
      <m:oMath xmlns:m="http://schemas.openxmlformats.org/officeDocument/2006/math">
        <m:sSub>
          <m:e>
            <m:r>
              <m:rPr>
                <m:lit/>
                <m:nor/>
              </m:rPr>
              <m:t xml:space="preserve">δχ</m:t>
            </m:r>
          </m:e>
          <m:sub>
            <m:r>
              <m:t xml:space="preserve">t</m:t>
            </m:r>
          </m:sub>
        </m:sSub>
        <m:rad>
          <m:radPr>
            <m:degHide m:val="1"/>
          </m:radPr>
          <m:deg/>
          <m:e>
            <m:r>
              <m:rPr>
                <m:lit/>
                <m:nor/>
              </m:rPr>
              <m:t xml:space="preserve">dt</m:t>
            </m:r>
          </m:e>
        </m:rad>
      </m:oMath>
      <w:r>
        <w:rPr/>
        <w:t xml:space="preserve">, </w:t>
      </w:r>
      <w:r>
        <w:rPr/>
      </w:r>
      <m:oMath xmlns:m="http://schemas.openxmlformats.org/officeDocument/2006/math">
        <m:r>
          <m:t xml:space="preserve">t</m:t>
        </m:r>
        <m:r>
          <m:t xml:space="preserve">∈</m:t>
        </m:r>
        <m:r>
          <m:t xml:space="preserve">(</m:t>
        </m:r>
        <m:sSub>
          <m:e>
            <m:r>
              <m:t xml:space="preserve">T</m:t>
            </m:r>
          </m:e>
          <m:sub>
            <m:r>
              <m:t xml:space="preserve">0</m:t>
            </m:r>
          </m:sub>
        </m:sSub>
        <m:r>
          <m:t xml:space="preserve">,</m:t>
        </m:r>
        <m:sSub>
          <m:e>
            <m:r>
              <m:t xml:space="preserve">T</m:t>
            </m:r>
          </m:e>
          <m:sub>
            <m:r>
              <m:t xml:space="preserve">1</m:t>
            </m:r>
          </m:sub>
        </m:sSub>
        <m:r>
          <m:t xml:space="preserve">]</m:t>
        </m:r>
      </m:oMath>
    </w:p>
    <w:p>
      <w:pPr>
        <w:pStyle w:val="Normal"/>
        <w:ind w:end="-180"/>
        <w:rPr/>
      </w:pPr>
      <w:r>
        <w:rPr/>
        <w:t xml:space="preserve">where </w:t>
      </w:r>
      <w:r>
        <w:rPr/>
      </w:r>
      <m:oMath xmlns:m="http://schemas.openxmlformats.org/officeDocument/2006/math">
        <m:r>
          <m:t xml:space="preserve">s</m:t>
        </m:r>
      </m:oMath>
      <w:r>
        <w:rPr/>
        <w:t xml:space="preserve"> is the seasonal bias (constant),  </w:t>
      </w:r>
      <w:r>
        <w:rPr/>
      </w:r>
      <m:oMath xmlns:m="http://schemas.openxmlformats.org/officeDocument/2006/math">
        <m:sSub>
          <m:e>
            <m:r>
              <m:t xml:space="preserve">T</m:t>
            </m:r>
          </m:e>
          <m:sub>
            <m:r>
              <m:t xml:space="preserve">0</m:t>
            </m:r>
          </m:sub>
        </m:sSub>
      </m:oMath>
      <w:r>
        <w:rPr/>
        <w:t xml:space="preserve"> is the maturity date of the latest matured forward, and </w:t>
      </w:r>
      <w:r>
        <w:rPr/>
      </w:r>
      <m:oMath xmlns:m="http://schemas.openxmlformats.org/officeDocument/2006/math">
        <m:sSub>
          <m:e>
            <m:r>
              <m:t xml:space="preserve">χ</m:t>
            </m:r>
          </m:e>
          <m:sub>
            <m:r>
              <m:t xml:space="preserve">t</m:t>
            </m:r>
          </m:sub>
        </m:sSub>
      </m:oMath>
      <w:r>
        <w:rPr/>
        <w:t xml:space="preserve"> is normal random variable with zero mean and standard deviation one.   The seasonal spread is modeled as a Wiener process with mean </w:t>
      </w:r>
      <w:r>
        <w:rPr/>
      </w:r>
      <m:oMath xmlns:m="http://schemas.openxmlformats.org/officeDocument/2006/math">
        <m:r>
          <m:t xml:space="preserve">s</m:t>
        </m:r>
      </m:oMath>
      <w:r>
        <w:rPr/>
        <w:t xml:space="preserve"> and variance </w:t>
      </w:r>
      <w:r>
        <w:rPr/>
      </w:r>
      <m:oMath xmlns:m="http://schemas.openxmlformats.org/officeDocument/2006/math">
        <m:sSup>
          <m:e>
            <m:r>
              <m:t xml:space="preserve">δ</m:t>
            </m:r>
          </m:e>
          <m:sup>
            <m:r>
              <m:t xml:space="preserve">2</m:t>
            </m:r>
          </m:sup>
        </m:sSup>
        <m:r>
          <m:t xml:space="preserve">(</m:t>
        </m:r>
        <m:r>
          <m:t xml:space="preserve">t</m:t>
        </m:r>
        <m:r>
          <m:t xml:space="preserve">−</m:t>
        </m:r>
        <m:sSub>
          <m:e>
            <m:r>
              <m:t xml:space="preserve">T</m:t>
            </m:r>
          </m:e>
          <m:sub>
            <m:r>
              <m:t xml:space="preserve">0</m:t>
            </m:r>
          </m:sub>
        </m:sSub>
        <m:r>
          <m:t xml:space="preserve">)</m:t>
        </m:r>
      </m:oMath>
      <w:r>
        <w:rPr/>
        <w:t xml:space="preserve">, its correlation with the prompt month price returns can be specified as </w:t>
      </w:r>
      <w:r>
        <w:rPr/>
      </w:r>
      <m:oMath xmlns:m="http://schemas.openxmlformats.org/officeDocument/2006/math">
        <m:r>
          <m:t xml:space="preserve">ρ</m:t>
        </m:r>
      </m:oMath>
      <w:r>
        <w:rPr/>
        <w:t xml:space="preserve">.  </w:t>
      </w:r>
    </w:p>
    <w:p>
      <w:pPr>
        <w:pStyle w:val="Normal"/>
        <w:ind w:end="-180"/>
        <w:rPr/>
      </w:pPr>
      <w:r>
        <w:rPr/>
      </w:r>
    </w:p>
    <w:p>
      <w:pPr>
        <w:pStyle w:val="Normal"/>
        <w:ind w:end="-180"/>
        <w:rPr/>
      </w:pPr>
      <w:r>
        <w:rPr/>
        <w:t xml:space="preserve">A few observations about the price process are worth mentioning.  The first term </w:t>
      </w:r>
      <w:r>
        <w:rPr/>
      </w:r>
      <m:oMath xmlns:m="http://schemas.openxmlformats.org/officeDocument/2006/math">
        <m:sSub>
          <m:e>
            <m:r>
              <m:t xml:space="preserve">F</m:t>
            </m:r>
          </m:e>
          <m:sub>
            <m:r>
              <m:t xml:space="preserve">0</m:t>
            </m:r>
            <m:r>
              <m:t xml:space="preserve">t</m:t>
            </m:r>
          </m:sub>
        </m:sSub>
      </m:oMath>
      <w:r>
        <w:rPr/>
        <w:t xml:space="preserve"> converges to the maturing forward </w:t>
      </w:r>
      <w:r>
        <w:rPr/>
      </w:r>
      <m:oMath xmlns:m="http://schemas.openxmlformats.org/officeDocument/2006/math">
        <m:sSub>
          <m:e>
            <m:r>
              <m:t xml:space="preserve">F</m:t>
            </m:r>
          </m:e>
          <m:sub>
            <m:r>
              <m:t xml:space="preserve">1</m:t>
            </m:r>
            <m:r>
              <m:t xml:space="preserve">t</m:t>
            </m:r>
          </m:sub>
        </m:sSub>
      </m:oMath>
      <w:r>
        <w:rPr/>
        <w:t xml:space="preserve"> at time </w:t>
      </w:r>
      <w:r>
        <w:rPr/>
      </w:r>
      <m:oMath xmlns:m="http://schemas.openxmlformats.org/officeDocument/2006/math">
        <m:sSub>
          <m:e>
            <m:r>
              <m:t xml:space="preserve">T</m:t>
            </m:r>
          </m:e>
          <m:sub>
            <m:r>
              <m:t xml:space="preserve">1</m:t>
            </m:r>
          </m:sub>
        </m:sSub>
      </m:oMath>
      <w:r>
        <w:rPr/>
        <w:t>.  Immediately after the prompt month rollover,</w:t>
      </w:r>
    </w:p>
    <w:p>
      <w:pPr>
        <w:pStyle w:val="Normal"/>
        <w:ind w:end="-180"/>
        <w:rPr/>
      </w:pPr>
      <w:r>
        <w:rPr/>
      </w:r>
      <m:oMath xmlns:m="http://schemas.openxmlformats.org/officeDocument/2006/math">
        <m:sSub>
          <m:e>
            <m:r>
              <m:t xml:space="preserve">S</m:t>
            </m:r>
          </m:e>
          <m:sub>
            <m:r>
              <m:t xml:space="preserve">t</m:t>
            </m:r>
          </m:sub>
        </m:sSub>
      </m:oMath>
      <w:r>
        <w:rPr/>
        <w:t xml:space="preserve"> </w:t>
      </w:r>
      <w:r>
        <w:rPr/>
        <w:t xml:space="preserve">is pulled back to </w:t>
      </w:r>
      <w:r>
        <w:rPr/>
      </w:r>
      <m:oMath xmlns:m="http://schemas.openxmlformats.org/officeDocument/2006/math">
        <m:sSub>
          <m:e>
            <m:r>
              <m:t xml:space="preserve">F</m:t>
            </m:r>
          </m:e>
          <m:sub>
            <m:r>
              <m:t xml:space="preserve">0</m:t>
            </m:r>
            <m:r>
              <m:t xml:space="preserve">t</m:t>
            </m:r>
          </m:sub>
        </m:sSub>
      </m:oMath>
      <w:r>
        <w:rPr/>
        <w:t xml:space="preserve"> at the beginning of new prompt month, that is set at the last matured forward price.  </w:t>
      </w:r>
    </w:p>
    <w:p>
      <w:pPr>
        <w:pStyle w:val="Normal"/>
        <w:ind w:end="-180"/>
        <w:rPr/>
      </w:pPr>
      <w:r>
        <w:rPr/>
        <w:t>This provides a mean-reverting mechanism for the spot prices.</w:t>
      </w:r>
    </w:p>
    <w:p>
      <w:pPr>
        <w:pStyle w:val="Normal"/>
        <w:ind w:end="-180"/>
        <w:rPr/>
      </w:pPr>
      <w:r>
        <w:rPr/>
      </w:r>
    </w:p>
    <w:p>
      <w:pPr>
        <w:pStyle w:val="Normal"/>
        <w:ind w:end="-180"/>
        <w:rPr/>
      </w:pPr>
      <w:r>
        <w:rPr>
          <w:color w:val="FF0000"/>
        </w:rPr>
        <w:t>Therefore the non-arbitrage requirement is reinforced up to the seasonal bias.</w:t>
      </w:r>
      <w:r>
        <w:rPr/>
        <w:t xml:space="preserve">  </w:t>
      </w:r>
      <w:r>
        <w:rPr>
          <w:color w:val="FF0000"/>
        </w:rPr>
        <w:t>[ I would say that there is not really any non-arbitrage requirement since S really represents a day-ahead price and F1 is a monthly price].</w:t>
      </w:r>
    </w:p>
    <w:p>
      <w:pPr>
        <w:pStyle w:val="Normal"/>
        <w:ind w:end="-180"/>
        <w:rPr>
          <w:color w:val="FF0000"/>
        </w:rPr>
      </w:pPr>
      <w:r>
        <w:rPr>
          <w:color w:val="FF0000"/>
        </w:rPr>
      </w:r>
    </w:p>
    <w:p>
      <w:pPr>
        <w:pStyle w:val="Normal"/>
        <w:ind w:end="-180"/>
        <w:rPr/>
      </w:pPr>
      <w:r>
        <w:rPr/>
        <w:t xml:space="preserve">Traders usually have good ideas about forward-forward volatility (omicron volatility </w:t>
      </w:r>
      <w:r>
        <w:rPr/>
      </w:r>
      <m:oMath xmlns:m="http://schemas.openxmlformats.org/officeDocument/2006/math">
        <m:sSub>
          <m:e>
            <m:r>
              <m:t xml:space="preserve">σ</m:t>
            </m:r>
          </m:e>
          <m:sub>
            <m:r>
              <m:t xml:space="preserve">s</m:t>
            </m:r>
          </m:sub>
        </m:sSub>
      </m:oMath>
      <w:r>
        <w:rPr/>
        <w:t xml:space="preserve"> ),  thus </w:t>
      </w:r>
      <w:r>
        <w:rPr/>
      </w:r>
      <m:oMath xmlns:m="http://schemas.openxmlformats.org/officeDocument/2006/math">
        <m:r>
          <m:t xml:space="preserve">δ</m:t>
        </m:r>
      </m:oMath>
      <w:r>
        <w:rPr/>
        <w:t xml:space="preserve"> is not independent.  If we assume the volatility for </w:t>
      </w:r>
      <w:r>
        <w:rPr/>
      </w:r>
      <m:oMath xmlns:m="http://schemas.openxmlformats.org/officeDocument/2006/math">
        <m:sSub>
          <m:e>
            <m:r>
              <m:t xml:space="preserve">F</m:t>
            </m:r>
          </m:e>
          <m:sub>
            <m:r>
              <m:t xml:space="preserve">0</m:t>
            </m:r>
            <m:r>
              <m:t xml:space="preserve">t</m:t>
            </m:r>
          </m:sub>
        </m:sSub>
      </m:oMath>
      <w:r>
        <w:rPr/>
        <w:t xml:space="preserve"> is the same as </w:t>
      </w:r>
      <w:r>
        <w:rPr/>
      </w:r>
      <m:oMath xmlns:m="http://schemas.openxmlformats.org/officeDocument/2006/math">
        <m:sSub>
          <m:e>
            <m:r>
              <m:t xml:space="preserve">F</m:t>
            </m:r>
          </m:e>
          <m:sub>
            <m:r>
              <m:t xml:space="preserve">1</m:t>
            </m:r>
            <m:r>
              <m:t xml:space="preserve">t</m:t>
            </m:r>
          </m:sub>
        </m:sSub>
      </m:oMath>
      <w:r>
        <w:rPr/>
        <w:t xml:space="preserve"> ( empirically it is</w:t>
      </w:r>
    </w:p>
    <w:p>
      <w:pPr>
        <w:pStyle w:val="Normal"/>
        <w:ind w:end="-180"/>
        <w:rPr/>
      </w:pPr>
      <w:r>
        <w:rPr/>
        <w:t xml:space="preserve">a good approximation, see Fig. 3),  then we can calibrate the spot volatility by choosing appropriate </w:t>
      </w:r>
      <w:r>
        <w:rPr/>
      </w:r>
      <m:oMath xmlns:m="http://schemas.openxmlformats.org/officeDocument/2006/math">
        <m:r>
          <m:t xml:space="preserve">δ</m:t>
        </m:r>
      </m:oMath>
      <w:r>
        <w:rPr/>
        <w:t xml:space="preserve"> through the following equation</w:t>
      </w:r>
    </w:p>
    <w:p>
      <w:pPr>
        <w:pStyle w:val="Normal"/>
        <w:ind w:end="-180"/>
        <w:rPr/>
      </w:pPr>
      <w:r>
        <w:rPr/>
      </w:r>
    </w:p>
    <w:p>
      <w:pPr>
        <w:pStyle w:val="Normal"/>
        <w:ind w:end="-180"/>
        <w:rPr/>
      </w:pPr>
      <w:r>
        <w:rPr/>
      </w:r>
      <m:oMath xmlns:m="http://schemas.openxmlformats.org/officeDocument/2006/math">
        <m:sSubSup>
          <m:e>
            <m:r>
              <m:t xml:space="preserve">S</m:t>
            </m:r>
          </m:e>
          <m:sub>
            <m:r>
              <m:t xml:space="preserve">t</m:t>
            </m:r>
            <m:r>
              <m:t xml:space="preserve">=</m:t>
            </m:r>
            <m:sSub>
              <m:e>
                <m:r>
                  <m:t xml:space="preserve">T</m:t>
                </m:r>
              </m:e>
              <m:sub>
                <m:r>
                  <m:t xml:space="preserve">0</m:t>
                </m:r>
              </m:sub>
            </m:sSub>
          </m:sub>
          <m:sup>
            <m:r>
              <m:t xml:space="preserve">2</m:t>
            </m:r>
          </m:sup>
        </m:sSubSup>
        <m:r>
          <m:t xml:space="preserve">(</m:t>
        </m:r>
        <m:sSup>
          <m:e>
            <m:r>
              <m:t xml:space="preserve">e</m:t>
            </m:r>
          </m:e>
          <m:sup>
            <m:sSubSup>
              <m:e>
                <m:r>
                  <m:t xml:space="preserve">σ</m:t>
                </m:r>
              </m:e>
              <m:sub>
                <m:r>
                  <m:t xml:space="preserve">s</m:t>
                </m:r>
              </m:sub>
              <m:sup>
                <m:r>
                  <m:t xml:space="preserve">2</m:t>
                </m:r>
              </m:sup>
            </m:sSubSup>
            <m:r>
              <m:t xml:space="preserve">(</m:t>
            </m:r>
            <m:sSub>
              <m:e>
                <m:r>
                  <m:t xml:space="preserve">T</m:t>
                </m:r>
              </m:e>
              <m:sub>
                <m:r>
                  <m:t xml:space="preserve">1</m:t>
                </m:r>
              </m:sub>
            </m:sSub>
            <m:r>
              <m:t xml:space="preserve">−</m:t>
            </m:r>
            <m:sSub>
              <m:e>
                <m:r>
                  <m:t xml:space="preserve">T</m:t>
                </m:r>
              </m:e>
              <m:sub>
                <m:r>
                  <m:t xml:space="preserve">0</m:t>
                </m:r>
              </m:sub>
            </m:sSub>
            <m:r>
              <m:t xml:space="preserve">)</m:t>
            </m:r>
          </m:sup>
        </m:sSup>
        <m:r>
          <m:t xml:space="preserve">−</m:t>
        </m:r>
        <m:r>
          <m:t xml:space="preserve">1</m:t>
        </m:r>
        <m:r>
          <m:t xml:space="preserve">)</m:t>
        </m:r>
        <m:r>
          <m:t xml:space="preserve">=</m:t>
        </m:r>
        <m:sSubSup>
          <m:e>
            <m:r>
              <m:t xml:space="preserve">F</m:t>
            </m:r>
          </m:e>
          <m:sub>
            <m:r>
              <m:t xml:space="preserve">0</m:t>
            </m:r>
            <m:r>
              <m:t xml:space="preserve">t</m:t>
            </m:r>
            <m:r>
              <m:t xml:space="preserve">=</m:t>
            </m:r>
            <m:sSub>
              <m:e>
                <m:r>
                  <m:t xml:space="preserve">T</m:t>
                </m:r>
              </m:e>
              <m:sub>
                <m:r>
                  <m:t xml:space="preserve">0</m:t>
                </m:r>
              </m:sub>
            </m:sSub>
          </m:sub>
          <m:sup>
            <m:r>
              <m:t xml:space="preserve">2</m:t>
            </m:r>
          </m:sup>
        </m:sSubSup>
        <m:r>
          <m:t xml:space="preserve">(</m:t>
        </m:r>
        <m:sSup>
          <m:e>
            <m:r>
              <m:t xml:space="preserve">e</m:t>
            </m:r>
          </m:e>
          <m:sup>
            <m:sSubSup>
              <m:e>
                <m:r>
                  <m:t xml:space="preserve">σ</m:t>
                </m:r>
              </m:e>
              <m:sub>
                <m:r>
                  <m:t xml:space="preserve">1</m:t>
                </m:r>
              </m:sub>
              <m:sup>
                <m:r>
                  <m:t xml:space="preserve">2</m:t>
                </m:r>
              </m:sup>
            </m:sSubSup>
            <m:r>
              <m:t xml:space="preserve">(</m:t>
            </m:r>
            <m:sSub>
              <m:e>
                <m:r>
                  <m:t xml:space="preserve">T</m:t>
                </m:r>
              </m:e>
              <m:sub>
                <m:r>
                  <m:t xml:space="preserve">1</m:t>
                </m:r>
              </m:sub>
            </m:sSub>
            <m:r>
              <m:t xml:space="preserve">−</m:t>
            </m:r>
            <m:sSub>
              <m:e>
                <m:r>
                  <m:t xml:space="preserve">T</m:t>
                </m:r>
              </m:e>
              <m:sub>
                <m:r>
                  <m:t xml:space="preserve">0</m:t>
                </m:r>
              </m:sub>
            </m:sSub>
            <m:r>
              <m:t xml:space="preserve">)</m:t>
            </m:r>
          </m:sup>
        </m:sSup>
        <m:r>
          <m:t xml:space="preserve">−</m:t>
        </m:r>
        <m:r>
          <m:t xml:space="preserve">1</m:t>
        </m:r>
        <m:r>
          <m:t xml:space="preserve">)</m:t>
        </m:r>
        <m:r>
          <m:t xml:space="preserve">+</m:t>
        </m:r>
        <m:sSup>
          <m:e>
            <m:r>
              <m:t xml:space="preserve">δ</m:t>
            </m:r>
          </m:e>
          <m:sup>
            <m:r>
              <m:t xml:space="preserve">2</m:t>
            </m:r>
          </m:sup>
        </m:sSup>
        <m:r>
          <m:t xml:space="preserve">(</m:t>
        </m:r>
        <m:sSub>
          <m:e>
            <m:r>
              <m:t xml:space="preserve">T</m:t>
            </m:r>
          </m:e>
          <m:sub>
            <m:r>
              <m:t xml:space="preserve">1</m:t>
            </m:r>
          </m:sub>
        </m:sSub>
        <m:r>
          <m:t xml:space="preserve">−</m:t>
        </m:r>
        <m:sSub>
          <m:e>
            <m:r>
              <m:t xml:space="preserve">T</m:t>
            </m:r>
          </m:e>
          <m:sub>
            <m:r>
              <m:t xml:space="preserve">0</m:t>
            </m:r>
          </m:sub>
        </m:sSub>
        <m:r>
          <m:t xml:space="preserve">)</m:t>
        </m:r>
        <m:r>
          <m:t xml:space="preserve">+</m:t>
        </m:r>
        <m:r>
          <m:t xml:space="preserve">2</m:t>
        </m:r>
        <m:sSub>
          <m:e>
            <m:r>
              <m:t xml:space="preserve">F</m:t>
            </m:r>
          </m:e>
          <m:sub>
            <m:r>
              <m:t xml:space="preserve">0</m:t>
            </m:r>
            <m:r>
              <m:t xml:space="preserve">t</m:t>
            </m:r>
            <m:r>
              <m:t xml:space="preserve">=</m:t>
            </m:r>
            <m:sSub>
              <m:e>
                <m:r>
                  <m:t xml:space="preserve">T</m:t>
                </m:r>
              </m:e>
              <m:sub>
                <m:r>
                  <m:t xml:space="preserve">0</m:t>
                </m:r>
              </m:sub>
            </m:sSub>
          </m:sub>
        </m:sSub>
        <m:sSub>
          <m:e>
            <m:r>
              <m:rPr>
                <m:lit/>
                <m:nor/>
              </m:rPr>
              <m:t xml:space="preserve">ρσ</m:t>
            </m:r>
          </m:e>
          <m:sub>
            <m:r>
              <m:t xml:space="preserve">1</m:t>
            </m:r>
          </m:sub>
        </m:sSub>
        <m:r>
          <m:t xml:space="preserve">δ</m:t>
        </m:r>
        <m:r>
          <m:t xml:space="preserve">(</m:t>
        </m:r>
        <m:sSub>
          <m:e>
            <m:r>
              <m:t xml:space="preserve">T</m:t>
            </m:r>
          </m:e>
          <m:sub>
            <m:r>
              <m:t xml:space="preserve">1</m:t>
            </m:r>
          </m:sub>
        </m:sSub>
        <m:r>
          <m:t xml:space="preserve">−</m:t>
        </m:r>
        <m:sSub>
          <m:e>
            <m:r>
              <m:t xml:space="preserve">T</m:t>
            </m:r>
          </m:e>
          <m:sub>
            <m:r>
              <m:t xml:space="preserve">0</m:t>
            </m:r>
          </m:sub>
        </m:sSub>
        <m:r>
          <m:t xml:space="preserve">)</m:t>
        </m:r>
      </m:oMath>
      <w:r>
        <w:rPr/>
        <w:t>.</w:t>
        <w:tab/>
        <w:t xml:space="preserve">  (4)</w:t>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r>
        <w:rPr/>
      </w:r>
    </w:p>
    <w:p>
      <w:pPr>
        <w:pStyle w:val="Normal"/>
        <w:ind w:end="-180"/>
        <w:rPr/>
      </w:pPr>
      <w:bookmarkStart w:id="0" w:name="_1013343386"/>
      <w:bookmarkEnd w:id="0"/>
      <w:r>
        <w:rPr/>
        <w:object w:dxaOrig="8311" w:dyaOrig="48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15.55pt;height:243.8pt" filled="f" o:ole="">
            <v:imagedata r:id="rId7" o:title=""/>
          </v:shape>
          <o:OLEObject Type="Embed" ProgID="" ShapeID="ole_rId6" DrawAspect="Content" ObjectID="_972671509" r:id="rId6"/>
        </w:object>
      </w:r>
    </w:p>
    <w:p>
      <w:pPr>
        <w:pStyle w:val="Normal"/>
        <w:ind w:end="-180"/>
        <w:rPr/>
      </w:pPr>
      <w:r>
        <w:rPr/>
        <w:t xml:space="preserve"> </w:t>
      </w:r>
      <w:r>
        <w:rPr/>
        <w:t>Fig. 3. Volatilities for the F0 and F1.</w:t>
      </w:r>
    </w:p>
    <w:p>
      <w:pPr>
        <w:pStyle w:val="Normal"/>
        <w:ind w:end="-180"/>
        <w:rPr/>
      </w:pPr>
      <w:r>
        <w:rPr/>
      </w:r>
    </w:p>
    <w:p>
      <w:pPr>
        <w:pStyle w:val="Normal"/>
        <w:ind w:end="-180"/>
        <w:rPr/>
      </w:pPr>
      <w:r>
        <w:rPr/>
      </w:r>
    </w:p>
    <w:p>
      <w:pPr>
        <w:pStyle w:val="Normal"/>
        <w:ind w:end="-180"/>
        <w:rPr/>
      </w:pPr>
      <w:r>
        <w:rPr/>
      </w:r>
    </w:p>
    <w:p>
      <w:pPr>
        <w:pStyle w:val="Normal"/>
        <w:ind w:end="-180"/>
        <w:rPr/>
      </w:pPr>
      <w:r>
        <w:rPr/>
        <w:t xml:space="preserve">The left hand side of the above equation is the variance of the spot prices at time T1, the first term on the right hand side is the variance for F0.  We can solve </w:t>
      </w:r>
      <w:r>
        <w:rPr/>
      </w:r>
      <m:oMath xmlns:m="http://schemas.openxmlformats.org/officeDocument/2006/math">
        <m:r>
          <m:t xml:space="preserve">δ</m:t>
        </m:r>
      </m:oMath>
      <w:r>
        <w:rPr/>
        <w:t xml:space="preserve"> in a quadratic equation.   This way the spot prices will have the correct delivery month volatility as input by the trader.  In general, delivery month volatility is greater than the prompt month volatility. However, if the opposite occurs (only likely in the summer) we will not have a real number for </w:t>
      </w:r>
      <w:r>
        <w:rPr/>
      </w:r>
      <m:oMath xmlns:m="http://schemas.openxmlformats.org/officeDocument/2006/math">
        <m:r>
          <m:t xml:space="preserve">δ</m:t>
        </m:r>
      </m:oMath>
      <w:r>
        <w:rPr/>
        <w:t xml:space="preserve">.  In such occasions </w:t>
      </w:r>
      <w:r>
        <w:rPr/>
      </w:r>
      <m:oMath xmlns:m="http://schemas.openxmlformats.org/officeDocument/2006/math">
        <m:r>
          <m:t xml:space="preserve">δ</m:t>
        </m:r>
      </m:oMath>
      <w:r>
        <w:rPr/>
        <w:t xml:space="preserve"> is set to zero. The consequence is the the spot price equals  </w:t>
      </w:r>
      <w:r>
        <w:rPr/>
      </w:r>
      <m:oMath xmlns:m="http://schemas.openxmlformats.org/officeDocument/2006/math">
        <m:sSub>
          <m:e>
            <m:r>
              <m:t xml:space="preserve">F</m:t>
            </m:r>
          </m:e>
          <m:sub>
            <m:r>
              <m:t xml:space="preserve">0</m:t>
            </m:r>
            <m:r>
              <m:t xml:space="preserve">t</m:t>
            </m:r>
          </m:sub>
        </m:sSub>
      </m:oMath>
      <w:r>
        <w:rPr/>
        <w:t>+ s , which is a very good proxy according to historical data (see Fig. 2).</w:t>
      </w:r>
    </w:p>
    <w:p>
      <w:pPr>
        <w:pStyle w:val="Normal"/>
        <w:widowControl/>
        <w:rPr/>
      </w:pPr>
      <w:r>
        <w:rPr/>
      </w:r>
    </w:p>
    <w:p>
      <w:pPr>
        <w:pStyle w:val="Normal"/>
        <w:widowControl/>
        <w:rPr/>
      </w:pPr>
      <w:r>
        <w:rPr/>
      </w:r>
    </w:p>
    <w:p>
      <w:pPr>
        <w:pStyle w:val="Normal"/>
        <w:widowControl/>
        <w:rPr>
          <w:b/>
        </w:rPr>
      </w:pPr>
      <w:r>
        <w:rPr>
          <w:b/>
        </w:rPr>
        <w:t xml:space="preserve">II. 3            American Monte-Carlo </w:t>
      </w:r>
    </w:p>
    <w:p>
      <w:pPr>
        <w:pStyle w:val="Normal"/>
        <w:widowControl/>
        <w:rPr>
          <w:b/>
        </w:rPr>
      </w:pPr>
      <w:r>
        <w:rPr>
          <w:b/>
        </w:rPr>
      </w:r>
    </w:p>
    <w:p>
      <w:pPr>
        <w:pStyle w:val="Normal"/>
        <w:widowControl/>
        <w:rPr/>
      </w:pPr>
      <w:r>
        <w:rPr/>
        <w:t xml:space="preserve">Monte-Carlo simulation has been long used for derivatives pricing. It has the flexibility to handle complicated path-dependence and is easy to set up. The biggest drawback associated with the Monte-Carlo method has been that it can not deal with early exercise opportunities inherent in American style options.  Over the last few years American Monte-Carlo (AMC) techniques have been developed to overcome this limitation.  In simple terms, most AMC methods rely on building a multidimensional tree through simulation.  Although the simulation may incorporate many stochastic variables,  memory and computational restrictions limit the dimensionality of the state space which may be used for recursion.  The state space must span the most important variables that significantly affect the options payoff.  For example, the payoff function is the leading state variable to be considered. Once the state variables are chosen, the state space is then divided into cells. Each cell represents a node on the multi-dimensional tree. By keeping an accounting of the trajectories of the state variables in the simulation, the transition probability among the cells can be determined. Traditional dynamic programming is then applied to calculate the American option price by rolling back through the “tree.” </w:t>
      </w:r>
    </w:p>
    <w:p>
      <w:pPr>
        <w:pStyle w:val="Normal"/>
        <w:widowControl/>
        <w:rPr/>
      </w:pPr>
      <w:r>
        <w:rPr/>
      </w:r>
    </w:p>
    <w:p>
      <w:pPr>
        <w:pStyle w:val="Normal"/>
        <w:widowControl/>
        <w:rPr/>
      </w:pPr>
      <w:r>
        <w:rPr/>
        <w:t xml:space="preserve">In operating a gas storage facility, there are three actions which can be chosen on a daily basis: injection of gas (buy spot), withdrawal of gas (sell spot) or hold.  These decisions are affected in principle by the entire forward curve. For instance, the anticipation of a cold winter should be reflected in the winter futures prices.  This would lead to an accelerated injection in the summer. In modelling we can only deal with the most important decision variables. We have chosen the spot price as our first state variable and the spread between the prompt month forward price and the spot price as the second.   This choice is due to that fact that the spot prices determines the option payoff and the prompt month forward is the most influential in the withdraw-hold-injection decisions since the spread between prompt and spot may allow short term arbitrage opportunities.  As we discussed earlier, the simulated spot price begins at the corresponding maturing futures price, thus it already contains some information about the forward curve.   Also, through the process of recursion through the tree, the more distant expected forward prices have an influence on the optimal injection/withdrawal schedule in the earlier months.  Therefore implicitly, the entire forward curve information is used in making storage operation decisions.  </w:t>
      </w:r>
    </w:p>
    <w:p>
      <w:pPr>
        <w:pStyle w:val="Normal"/>
        <w:widowControl/>
        <w:rPr>
          <w:b/>
        </w:rPr>
      </w:pPr>
      <w:r>
        <w:rPr>
          <w:b/>
        </w:rPr>
      </w:r>
    </w:p>
    <w:p>
      <w:pPr>
        <w:pStyle w:val="Normal"/>
        <w:widowControl/>
        <w:rPr>
          <w:b/>
        </w:rPr>
      </w:pPr>
      <w:r>
        <w:rPr>
          <w:b/>
        </w:rPr>
      </w:r>
    </w:p>
    <w:p>
      <w:pPr>
        <w:pStyle w:val="Normal"/>
        <w:widowControl/>
        <w:spacing w:lineRule="auto" w:line="360"/>
        <w:rPr>
          <w:b/>
        </w:rPr>
      </w:pPr>
      <w:r>
        <w:rPr>
          <w:b/>
        </w:rPr>
        <w:t>II. 4        Dynamic Programming</w:t>
      </w:r>
    </w:p>
    <w:p>
      <w:pPr>
        <w:pStyle w:val="Normal"/>
        <w:widowControl/>
        <w:spacing w:lineRule="auto" w:line="360"/>
        <w:rPr/>
      </w:pPr>
      <w:r>
        <w:rPr/>
        <w:t xml:space="preserve"> </w:t>
      </w:r>
      <w:r>
        <w:rPr/>
        <w:t xml:space="preserve">Let </w:t>
      </w:r>
      <w:r>
        <w:rPr/>
      </w:r>
      <m:oMath xmlns:m="http://schemas.openxmlformats.org/officeDocument/2006/math">
        <m:sSub>
          <m:e>
            <m:r>
              <m:t xml:space="preserve">f</m:t>
            </m:r>
          </m:e>
          <m:sub>
            <m:r>
              <m:t xml:space="preserve">i</m:t>
            </m:r>
            <m:r>
              <m:t xml:space="preserve">,</m:t>
            </m:r>
            <m:r>
              <m:t xml:space="preserve">k</m:t>
            </m:r>
            <m:r>
              <m:t xml:space="preserve">,</m:t>
            </m:r>
            <m:r>
              <m:t xml:space="preserve">t</m:t>
            </m:r>
            <m:r>
              <m:t xml:space="preserve">+</m:t>
            </m:r>
            <m:r>
              <m:t xml:space="preserve">Δt</m:t>
            </m:r>
          </m:sub>
        </m:sSub>
      </m:oMath>
      <w:r>
        <w:rPr/>
        <w:t xml:space="preserve"> denote the storage value where the price state index is </w:t>
      </w:r>
      <w:r>
        <w:rPr/>
      </w:r>
      <m:oMath xmlns:m="http://schemas.openxmlformats.org/officeDocument/2006/math">
        <m:r>
          <m:t xml:space="preserve">i</m:t>
        </m:r>
      </m:oMath>
      <w:r>
        <w:rPr/>
        <w:t xml:space="preserve">, </w:t>
      </w:r>
      <w:r>
        <w:rPr/>
      </w:r>
      <m:oMath xmlns:m="http://schemas.openxmlformats.org/officeDocument/2006/math">
        <m:r>
          <m:t xml:space="preserve">k</m:t>
        </m:r>
      </m:oMath>
      <w:r>
        <w:rPr/>
        <w:t xml:space="preserve"> units of gas are in storage, and time is </w:t>
      </w:r>
      <w:r>
        <w:rPr/>
      </w:r>
      <m:oMath xmlns:m="http://schemas.openxmlformats.org/officeDocument/2006/math">
        <m:r>
          <m:t xml:space="preserve">t</m:t>
        </m:r>
        <m:r>
          <m:t xml:space="preserve">+</m:t>
        </m:r>
        <m:r>
          <m:t xml:space="preserve">Δt</m:t>
        </m:r>
      </m:oMath>
      <w:r>
        <w:rPr/>
        <w:t xml:space="preserve">.  </w:t>
      </w:r>
      <w:r>
        <w:rPr>
          <w:color w:val="FF0000"/>
        </w:rPr>
        <w:t xml:space="preserve">Note that the price index, </w:t>
      </w:r>
      <w:r>
        <w:rPr>
          <w:i/>
          <w:color w:val="FF0000"/>
        </w:rPr>
        <w:t>i</w:t>
      </w:r>
      <w:r>
        <w:rPr>
          <w:color w:val="FF0000"/>
        </w:rPr>
        <w:t xml:space="preserve">,  may span more than one price variable.  </w:t>
      </w:r>
      <w:r>
        <w:rPr/>
        <w:t xml:space="preserve">Then the storage value at an earlier time </w:t>
      </w:r>
      <w:r>
        <w:rPr/>
      </w:r>
      <m:oMath xmlns:m="http://schemas.openxmlformats.org/officeDocument/2006/math">
        <m:r>
          <m:t xml:space="preserve">t</m:t>
        </m:r>
      </m:oMath>
      <w:r>
        <w:rPr/>
        <w:t>can be determined via iteration</w:t>
      </w:r>
    </w:p>
    <w:p>
      <w:pPr>
        <w:pStyle w:val="Footer"/>
        <w:widowControl/>
        <w:tabs>
          <w:tab w:val="clear" w:pos="4320"/>
          <w:tab w:val="clear" w:pos="8640"/>
        </w:tabs>
        <w:spacing w:lineRule="auto" w:line="360"/>
        <w:rPr/>
      </w:pPr>
      <w:r>
        <w:rPr/>
      </w:r>
    </w:p>
    <w:p>
      <w:pPr>
        <w:pStyle w:val="Normal"/>
        <w:widowControl/>
        <w:spacing w:lineRule="auto" w:line="360"/>
        <w:rPr/>
      </w:pPr>
      <w:r>
        <w:rPr/>
      </w:r>
      <m:oMath xmlns:m="http://schemas.openxmlformats.org/officeDocument/2006/math"/>
      <w:r>
        <w:rPr/>
      </w:r>
      <m:oMath xmlns:m="http://schemas.openxmlformats.org/officeDocument/2006/math">
        <m:sSub>
          <m:e>
            <m:r>
              <m:t xml:space="preserve">f</m:t>
            </m:r>
          </m:e>
          <m:sub>
            <m:r>
              <m:t xml:space="preserve">i</m:t>
            </m:r>
            <m:r>
              <m:t xml:space="preserve">,</m:t>
            </m:r>
            <m:r>
              <m:t xml:space="preserve">k</m:t>
            </m:r>
            <m:r>
              <m:t xml:space="preserve">,</m:t>
            </m:r>
            <m:r>
              <m:t xml:space="preserve">t</m:t>
            </m:r>
          </m:sub>
        </m:sSub>
        <m:r>
          <m:t xml:space="preserve">=</m:t>
        </m:r>
        <m:r>
          <m:rPr>
            <m:lit/>
            <m:nor/>
          </m:rPr>
          <m:t xml:space="preserve">max</m:t>
        </m:r>
        <m:d>
          <m:dPr>
            <m:begChr m:val="{"/>
            <m:endChr m:val=""/>
          </m:dPr>
          <m:e>
            <m:m>
              <m:mr>
                <m:e>
                  <m:sSup>
                    <m:e>
                      <m:r>
                        <m:t xml:space="preserve">e</m:t>
                      </m:r>
                    </m:e>
                    <m:sup>
                      <m:r>
                        <m:t xml:space="preserve">−</m:t>
                      </m:r>
                      <m:r>
                        <m:t xml:space="preserve">rΔt</m:t>
                      </m:r>
                    </m:sup>
                  </m:sSup>
                  <m:nary>
                    <m:naryPr>
                      <m:chr m:val="∑"/>
                      <m:supHide m:val="1"/>
                    </m:naryPr>
                    <m:sub>
                      <m:r>
                        <m:t xml:space="preserve">j</m:t>
                      </m:r>
                    </m:sub>
                    <m:sup/>
                    <m:e>
                      <m:sSub>
                        <m:e>
                          <m:r>
                            <m:t xml:space="preserve">P</m:t>
                          </m:r>
                        </m:e>
                        <m:sub>
                          <m:r>
                            <m:t xml:space="preserve">i</m:t>
                          </m:r>
                          <m:r>
                            <m:t xml:space="preserve">→</m:t>
                          </m:r>
                          <m:r>
                            <m:t xml:space="preserve">j</m:t>
                          </m:r>
                        </m:sub>
                      </m:sSub>
                      <m:sSub>
                        <m:e>
                          <m:r>
                            <m:t xml:space="preserve">f</m:t>
                          </m:r>
                        </m:e>
                        <m:sub>
                          <m:r>
                            <m:t xml:space="preserve">j</m:t>
                          </m:r>
                          <m:r>
                            <m:t xml:space="preserve">,</m:t>
                          </m:r>
                          <m:r>
                            <m:t xml:space="preserve">k</m:t>
                          </m:r>
                          <m:r>
                            <m:t xml:space="preserve">,</m:t>
                          </m:r>
                          <m:r>
                            <m:t xml:space="preserve">t</m:t>
                          </m:r>
                          <m:r>
                            <m:t xml:space="preserve">+</m:t>
                          </m:r>
                          <m:r>
                            <m:t xml:space="preserve">Δt</m:t>
                          </m:r>
                        </m:sub>
                      </m:sSub>
                      <m:r>
                        <m:rPr>
                          <m:lit/>
                          <m:nor/>
                        </m:rPr>
                        <m:t xml:space="preserve">                                                 No Action</m:t>
                      </m:r>
                    </m:e>
                  </m:nary>
                </m:e>
              </m:mr>
              <m:mr>
                <m:e>
                  <m:sSup>
                    <m:e>
                      <m:r>
                        <m:t xml:space="preserve">e</m:t>
                      </m:r>
                    </m:e>
                    <m:sup>
                      <m:r>
                        <m:t xml:space="preserve">−</m:t>
                      </m:r>
                      <m:r>
                        <m:t xml:space="preserve">rΔt</m:t>
                      </m:r>
                    </m:sup>
                  </m:sSup>
                  <m:nary>
                    <m:naryPr>
                      <m:chr m:val="∑"/>
                      <m:supHide m:val="1"/>
                    </m:naryPr>
                    <m:sub>
                      <m:r>
                        <m:t xml:space="preserve">j</m:t>
                      </m:r>
                    </m:sub>
                    <m:sup/>
                    <m:e>
                      <m:sSub>
                        <m:e>
                          <m:r>
                            <m:t xml:space="preserve">P</m:t>
                          </m:r>
                        </m:e>
                        <m:sub>
                          <m:r>
                            <m:t xml:space="preserve">i</m:t>
                          </m:r>
                          <m:r>
                            <m:t xml:space="preserve">→</m:t>
                          </m:r>
                          <m:r>
                            <m:t xml:space="preserve">j</m:t>
                          </m:r>
                        </m:sub>
                      </m:sSub>
                      <m:sSub>
                        <m:e>
                          <m:r>
                            <m:t xml:space="preserve">f</m:t>
                          </m:r>
                        </m:e>
                        <m:sub>
                          <m:r>
                            <m:t xml:space="preserve">j</m:t>
                          </m:r>
                          <m:r>
                            <m:t xml:space="preserve">,</m:t>
                          </m:r>
                          <m:r>
                            <m:t xml:space="preserve">k</m:t>
                          </m:r>
                          <m:r>
                            <m:t xml:space="preserve">−</m:t>
                          </m:r>
                          <m:r>
                            <m:t xml:space="preserve">1</m:t>
                          </m:r>
                          <m:r>
                            <m:t xml:space="preserve">,</m:t>
                          </m:r>
                          <m:r>
                            <m:t xml:space="preserve">t</m:t>
                          </m:r>
                          <m:r>
                            <m:t xml:space="preserve">+</m:t>
                          </m:r>
                          <m:r>
                            <m:t xml:space="preserve">Δt</m:t>
                          </m:r>
                        </m:sub>
                      </m:sSub>
                      <m:r>
                        <m:t xml:space="preserve">−</m:t>
                      </m:r>
                      <m:r>
                        <m:t xml:space="preserve">(</m:t>
                      </m:r>
                      <m:sSub>
                        <m:e>
                          <m:r>
                            <m:t xml:space="preserve">S</m:t>
                          </m:r>
                        </m:e>
                        <m:sub>
                          <m:r>
                            <m:t xml:space="preserve">i</m:t>
                          </m:r>
                        </m:sub>
                      </m:sSub>
                      <m:r>
                        <m:t xml:space="preserve">+</m:t>
                      </m:r>
                      <m:sSub>
                        <m:e>
                          <m:r>
                            <m:t xml:space="preserve">K</m:t>
                          </m:r>
                        </m:e>
                        <m:sub>
                          <m:r>
                            <m:t xml:space="preserve">I</m:t>
                          </m:r>
                        </m:sub>
                      </m:sSub>
                      <m:r>
                        <m:t xml:space="preserve">)</m:t>
                      </m:r>
                      <m:sSub>
                        <m:e>
                          <m:r>
                            <m:t xml:space="preserve">V</m:t>
                          </m:r>
                        </m:e>
                        <m:sub>
                          <m:r>
                            <m:t xml:space="preserve">I</m:t>
                          </m:r>
                        </m:sub>
                      </m:sSub>
                      <m:r>
                        <m:rPr>
                          <m:lit/>
                          <m:nor/>
                        </m:rPr>
                        <m:t xml:space="preserve">                      Injection </m:t>
                      </m:r>
                    </m:e>
                  </m:nary>
                </m:e>
              </m:mr>
              <m:mr>
                <m:e>
                  <m:sSup>
                    <m:e>
                      <m:r>
                        <m:t xml:space="preserve">e</m:t>
                      </m:r>
                    </m:e>
                    <m:sup>
                      <m:r>
                        <m:t xml:space="preserve">−</m:t>
                      </m:r>
                      <m:r>
                        <m:t xml:space="preserve">rΔt</m:t>
                      </m:r>
                    </m:sup>
                  </m:sSup>
                  <m:nary>
                    <m:naryPr>
                      <m:chr m:val="∑"/>
                      <m:supHide m:val="1"/>
                    </m:naryPr>
                    <m:sub>
                      <m:r>
                        <m:t xml:space="preserve">j</m:t>
                      </m:r>
                    </m:sub>
                    <m:sup/>
                    <m:e>
                      <m:sSub>
                        <m:e>
                          <m:r>
                            <m:t xml:space="preserve">P</m:t>
                          </m:r>
                        </m:e>
                        <m:sub>
                          <m:r>
                            <m:t xml:space="preserve">i</m:t>
                          </m:r>
                          <m:r>
                            <m:t xml:space="preserve">→</m:t>
                          </m:r>
                          <m:r>
                            <m:t xml:space="preserve">j</m:t>
                          </m:r>
                        </m:sub>
                      </m:sSub>
                      <m:sSub>
                        <m:e>
                          <m:r>
                            <m:t xml:space="preserve">f</m:t>
                          </m:r>
                        </m:e>
                        <m:sub>
                          <m:r>
                            <m:t xml:space="preserve">j</m:t>
                          </m:r>
                          <m:r>
                            <m:t xml:space="preserve">,</m:t>
                          </m:r>
                          <m:r>
                            <m:t xml:space="preserve">k</m:t>
                          </m:r>
                          <m:r>
                            <m:t xml:space="preserve">+</m:t>
                          </m:r>
                          <m:r>
                            <m:t xml:space="preserve">1</m:t>
                          </m:r>
                          <m:r>
                            <m:t xml:space="preserve">,</m:t>
                          </m:r>
                          <m:r>
                            <m:t xml:space="preserve">t</m:t>
                          </m:r>
                          <m:r>
                            <m:t xml:space="preserve">+</m:t>
                          </m:r>
                          <m:r>
                            <m:t xml:space="preserve">Δt</m:t>
                          </m:r>
                        </m:sub>
                      </m:sSub>
                      <m:r>
                        <m:t xml:space="preserve">+</m:t>
                      </m:r>
                      <m:r>
                        <m:t xml:space="preserve">(</m:t>
                      </m:r>
                      <m:sSub>
                        <m:e>
                          <m:r>
                            <m:t xml:space="preserve">S</m:t>
                          </m:r>
                        </m:e>
                        <m:sub>
                          <m:r>
                            <m:t xml:space="preserve">i</m:t>
                          </m:r>
                        </m:sub>
                      </m:sSub>
                      <m:r>
                        <m:t xml:space="preserve">−</m:t>
                      </m:r>
                      <m:sSub>
                        <m:e>
                          <m:r>
                            <m:t xml:space="preserve">K</m:t>
                          </m:r>
                        </m:e>
                        <m:sub>
                          <m:r>
                            <m:t xml:space="preserve">w</m:t>
                          </m:r>
                        </m:sub>
                      </m:sSub>
                      <m:r>
                        <m:t xml:space="preserve">)</m:t>
                      </m:r>
                      <m:sSub>
                        <m:e>
                          <m:r>
                            <m:t xml:space="preserve">V</m:t>
                          </m:r>
                        </m:e>
                        <m:sub>
                          <m:r>
                            <m:t xml:space="preserve">W</m:t>
                          </m:r>
                        </m:sub>
                      </m:sSub>
                      <m:r>
                        <m:rPr>
                          <m:lit/>
                          <m:nor/>
                        </m:rPr>
                        <m:t xml:space="preserve">                      Withdraw</m:t>
                      </m:r>
                    </m:e>
                  </m:nary>
                </m:e>
              </m:mr>
            </m:m>
          </m:e>
        </m:d>
      </m:oMath>
      <w:r>
        <w:rPr>
          <w:position w:val="-80"/>
        </w:rPr>
        <w:t xml:space="preserve">                 </w:t>
      </w:r>
      <w:r>
        <w:rPr>
          <w:position w:val="-80"/>
        </w:rPr>
        <w:t>(5)</w:t>
      </w:r>
    </w:p>
    <w:p>
      <w:pPr>
        <w:pStyle w:val="Normal"/>
        <w:widowControl/>
        <w:spacing w:lineRule="auto" w:line="360"/>
        <w:rPr/>
      </w:pPr>
      <w:r>
        <w:rPr/>
      </w:r>
    </w:p>
    <w:p>
      <w:pPr>
        <w:pStyle w:val="Normal"/>
        <w:widowControl/>
        <w:spacing w:lineRule="auto" w:line="360"/>
        <w:rPr/>
      </w:pPr>
      <w:r>
        <w:rPr/>
        <w:t xml:space="preserve">for  </w:t>
      </w:r>
      <w:r>
        <w:rPr/>
      </w:r>
      <m:oMath xmlns:m="http://schemas.openxmlformats.org/officeDocument/2006/math">
        <m:r>
          <m:t xml:space="preserve">k</m:t>
        </m:r>
        <m:r>
          <m:t xml:space="preserve">=</m:t>
        </m:r>
        <m:r>
          <m:t xml:space="preserve">1</m:t>
        </m:r>
        <m:r>
          <m:t xml:space="preserve">,</m:t>
        </m:r>
        <m:r>
          <m:rPr>
            <m:lit/>
            <m:nor/>
          </m:rPr>
          <m:t xml:space="preserve">.</m:t>
        </m:r>
        <m:r>
          <m:rPr>
            <m:lit/>
            <m:nor/>
          </m:rPr>
          <m:t xml:space="preserve">.</m:t>
        </m:r>
        <m:r>
          <m:rPr>
            <m:lit/>
            <m:nor/>
          </m:rPr>
          <m:t xml:space="preserve">.</m:t>
        </m:r>
        <m:r>
          <m:t xml:space="preserve">M</m:t>
        </m:r>
        <m:r>
          <m:t xml:space="preserve">−</m:t>
        </m:r>
        <m:r>
          <m:t xml:space="preserve">1</m:t>
        </m:r>
      </m:oMath>
      <w:r>
        <w:rPr/>
        <w:t xml:space="preserve">, </w:t>
      </w:r>
      <w:r>
        <w:rPr/>
      </w:r>
      <m:oMath xmlns:m="http://schemas.openxmlformats.org/officeDocument/2006/math">
        <m:r>
          <m:t xml:space="preserve">t</m:t>
        </m:r>
        <m:r>
          <m:t xml:space="preserve">=</m:t>
        </m:r>
        <m:r>
          <m:t xml:space="preserve">T</m:t>
        </m:r>
        <m:r>
          <m:t xml:space="preserve">−</m:t>
        </m:r>
        <m:r>
          <m:t xml:space="preserve">Δt</m:t>
        </m:r>
        <m:r>
          <m:t xml:space="preserve">,</m:t>
        </m:r>
        <m:r>
          <m:t xml:space="preserve">T</m:t>
        </m:r>
        <m:r>
          <m:t xml:space="preserve">−</m:t>
        </m:r>
        <m:r>
          <m:t xml:space="preserve">2</m:t>
        </m:r>
        <m:r>
          <m:t xml:space="preserve">Δt</m:t>
        </m:r>
        <m:r>
          <m:t xml:space="preserve">,</m:t>
        </m:r>
        <m:r>
          <m:rPr>
            <m:lit/>
            <m:nor/>
          </m:rPr>
          <m:t xml:space="preserve">.</m:t>
        </m:r>
        <m:r>
          <m:rPr>
            <m:lit/>
            <m:nor/>
          </m:rPr>
          <m:t xml:space="preserve">.</m:t>
        </m:r>
        <m:r>
          <m:rPr>
            <m:lit/>
            <m:nor/>
          </m:rPr>
          <m:t xml:space="preserve">.</m:t>
        </m:r>
        <m:r>
          <m:t xml:space="preserve">,</m:t>
        </m:r>
        <m:r>
          <m:t xml:space="preserve">Δt</m:t>
        </m:r>
      </m:oMath>
      <w:r>
        <w:rPr/>
        <w:t xml:space="preserve">    where </w:t>
      </w:r>
      <w:r>
        <w:rPr/>
      </w:r>
      <m:oMath xmlns:m="http://schemas.openxmlformats.org/officeDocument/2006/math">
        <m:sSub>
          <m:e>
            <m:r>
              <m:t xml:space="preserve">P</m:t>
            </m:r>
          </m:e>
          <m:sub>
            <m:r>
              <m:t xml:space="preserve">i</m:t>
            </m:r>
            <m:r>
              <m:t xml:space="preserve">→</m:t>
            </m:r>
            <m:r>
              <m:t xml:space="preserve">j</m:t>
            </m:r>
          </m:sub>
        </m:sSub>
      </m:oMath>
      <w:r>
        <w:rPr/>
        <w:t xml:space="preserve"> is the transition probability from the state </w:t>
      </w:r>
      <w:r>
        <w:rPr/>
      </w:r>
      <m:oMath xmlns:m="http://schemas.openxmlformats.org/officeDocument/2006/math">
        <m:r>
          <m:t xml:space="preserve">i</m:t>
        </m:r>
      </m:oMath>
      <w:r>
        <w:rPr/>
        <w:t xml:space="preserve">at time </w:t>
      </w:r>
      <w:r>
        <w:rPr/>
      </w:r>
      <m:oMath xmlns:m="http://schemas.openxmlformats.org/officeDocument/2006/math">
        <m:r>
          <m:t xml:space="preserve">t</m:t>
        </m:r>
      </m:oMath>
      <w:r>
        <w:rPr/>
        <w:t xml:space="preserve"> to price state </w:t>
      </w:r>
      <w:r>
        <w:rPr/>
      </w:r>
      <m:oMath xmlns:m="http://schemas.openxmlformats.org/officeDocument/2006/math">
        <m:r>
          <m:t xml:space="preserve">j</m:t>
        </m:r>
      </m:oMath>
      <w:r>
        <w:rPr/>
        <w:t xml:space="preserve"> at time </w:t>
      </w:r>
      <w:r>
        <w:rPr/>
      </w:r>
      <m:oMath xmlns:m="http://schemas.openxmlformats.org/officeDocument/2006/math">
        <m:r>
          <m:t xml:space="preserve">t</m:t>
        </m:r>
        <m:r>
          <m:t xml:space="preserve">+</m:t>
        </m:r>
        <m:r>
          <m:t xml:space="preserve">Δt</m:t>
        </m:r>
      </m:oMath>
      <w:r>
        <w:rPr/>
        <w:t xml:space="preserve">, </w:t>
      </w:r>
      <w:r>
        <w:rPr/>
      </w:r>
      <m:oMath xmlns:m="http://schemas.openxmlformats.org/officeDocument/2006/math">
        <m:sSub>
          <m:e>
            <m:r>
              <m:t xml:space="preserve">S</m:t>
            </m:r>
          </m:e>
          <m:sub>
            <m:r>
              <m:t xml:space="preserve">i</m:t>
            </m:r>
          </m:sub>
        </m:sSub>
      </m:oMath>
      <w:r>
        <w:rPr/>
        <w:t xml:space="preserve"> is the spot price, </w:t>
      </w:r>
      <w:r>
        <w:rPr/>
      </w:r>
      <m:oMath xmlns:m="http://schemas.openxmlformats.org/officeDocument/2006/math">
        <m:sSub>
          <m:e>
            <m:r>
              <m:t xml:space="preserve">K</m:t>
            </m:r>
          </m:e>
          <m:sub>
            <m:r>
              <m:t xml:space="preserve">I</m:t>
            </m:r>
          </m:sub>
        </m:sSub>
        <m:r>
          <m:t xml:space="preserve">(</m:t>
        </m:r>
        <m:sSub>
          <m:e>
            <m:r>
              <m:t xml:space="preserve">K</m:t>
            </m:r>
          </m:e>
          <m:sub>
            <m:r>
              <m:t xml:space="preserve">W</m:t>
            </m:r>
          </m:sub>
        </m:sSub>
        <m:r>
          <m:t xml:space="preserve">)</m:t>
        </m:r>
      </m:oMath>
      <w:r>
        <w:rPr/>
        <w:t xml:space="preserve">is injection (withdraw ) cost, </w:t>
      </w:r>
      <w:r>
        <w:rPr>
          <w:i/>
        </w:rPr>
        <w:t>r</w:t>
      </w:r>
      <w:r>
        <w:rPr/>
        <w:t xml:space="preserve"> is the interest rate, </w:t>
      </w:r>
      <w:r>
        <w:rPr/>
      </w:r>
      <m:oMath xmlns:m="http://schemas.openxmlformats.org/officeDocument/2006/math">
        <m:r>
          <m:t xml:space="preserve">D</m:t>
        </m:r>
      </m:oMath>
      <w:r>
        <w:rPr>
          <w:i/>
        </w:rPr>
        <w:t>t</w:t>
      </w:r>
      <w:r>
        <w:rPr/>
        <w:t xml:space="preserve"> is the time increment , </w:t>
      </w:r>
      <w:r>
        <w:rPr/>
      </w:r>
      <m:oMath xmlns:m="http://schemas.openxmlformats.org/officeDocument/2006/math">
        <m:sSub>
          <m:e>
            <m:r>
              <m:t xml:space="preserve">V</m:t>
            </m:r>
          </m:e>
          <m:sub>
            <m:r>
              <m:t xml:space="preserve">I</m:t>
            </m:r>
          </m:sub>
        </m:sSub>
      </m:oMath>
      <w:r>
        <w:rPr/>
        <w:t xml:space="preserve"> is the daily maximum injection quantity and </w:t>
      </w:r>
      <w:r>
        <w:rPr/>
      </w:r>
      <m:oMath xmlns:m="http://schemas.openxmlformats.org/officeDocument/2006/math">
        <m:sSub>
          <m:e>
            <m:r>
              <m:t xml:space="preserve">V</m:t>
            </m:r>
          </m:e>
          <m:sub>
            <m:r>
              <m:t xml:space="preserve">W</m:t>
            </m:r>
          </m:sub>
        </m:sSub>
      </m:oMath>
      <w:r>
        <w:rPr/>
        <w:t xml:space="preserve"> is the maximum daily  withdrawal quantity.  They can be functions of</w:t>
      </w:r>
      <w:r>
        <w:rPr>
          <w:i/>
        </w:rPr>
        <w:t xml:space="preserve">   </w:t>
      </w:r>
      <w:r>
        <w:rPr>
          <w:i/>
        </w:rPr>
      </w:r>
      <m:oMath xmlns:m="http://schemas.openxmlformats.org/officeDocument/2006/math">
        <m:r>
          <m:t xml:space="preserve">k</m:t>
        </m:r>
      </m:oMath>
      <w:r>
        <w:rPr/>
        <w:t xml:space="preserve"> to reflect the injection or withdrawal curve’s dependence on quantity of gas in place. For </w:t>
      </w:r>
      <w:r>
        <w:rPr>
          <w:i/>
        </w:rPr>
        <w:t>k=0</w:t>
      </w:r>
      <w:r>
        <w:rPr/>
        <w:t xml:space="preserve"> the injection term should be dropped while for </w:t>
      </w:r>
      <w:r>
        <w:rPr>
          <w:i/>
        </w:rPr>
        <w:t>k=M</w:t>
      </w:r>
      <w:r>
        <w:rPr/>
        <w:t xml:space="preserve"> withdraw term should be dropped.  At the end of the contract period, the storage may be required to be empty.  We can impose this requirement through a penalty term to the boundary condition,</w:t>
      </w:r>
    </w:p>
    <w:p>
      <w:pPr>
        <w:pStyle w:val="Normal"/>
        <w:widowControl/>
        <w:spacing w:lineRule="auto" w:line="360"/>
        <w:rPr/>
      </w:pPr>
      <w:r>
        <w:rPr/>
      </w:r>
    </w:p>
    <w:p>
      <w:pPr>
        <w:pStyle w:val="Normal"/>
        <w:widowControl/>
        <w:spacing w:lineRule="auto" w:line="360"/>
        <w:rPr/>
      </w:pPr>
      <w:r>
        <w:rPr/>
      </w:r>
      <m:oMath xmlns:m="http://schemas.openxmlformats.org/officeDocument/2006/math">
        <m:eqArr>
          <m:e>
            <m:sSub>
              <m:e>
                <m:r>
                  <m:t xml:space="preserve">f</m:t>
                </m:r>
              </m:e>
              <m:sub>
                <m:r>
                  <m:t xml:space="preserve">i</m:t>
                </m:r>
                <m:r>
                  <m:t xml:space="preserve">,</m:t>
                </m:r>
                <m:r>
                  <m:t xml:space="preserve">k</m:t>
                </m:r>
                <m:r>
                  <m:t xml:space="preserve">,</m:t>
                </m:r>
                <m:r>
                  <m:t xml:space="preserve">T</m:t>
                </m:r>
              </m:sub>
            </m:sSub>
            <m:r>
              <m:t xml:space="preserve">=</m:t>
            </m:r>
            <m:r>
              <m:t xml:space="preserve">(</m:t>
            </m:r>
            <m:sSub>
              <m:e>
                <m:r>
                  <m:t xml:space="preserve">S</m:t>
                </m:r>
              </m:e>
              <m:sub>
                <m:r>
                  <m:t xml:space="preserve">i</m:t>
                </m:r>
              </m:sub>
            </m:sSub>
            <m:r>
              <m:t xml:space="preserve">−</m:t>
            </m:r>
            <m:sSub>
              <m:e>
                <m:r>
                  <m:t xml:space="preserve">K</m:t>
                </m:r>
              </m:e>
              <m:sub>
                <m:r>
                  <m:t xml:space="preserve">W</m:t>
                </m:r>
              </m:sub>
            </m:sSub>
            <m:r>
              <m:t xml:space="preserve">)</m:t>
            </m:r>
            <m:sSub>
              <m:e>
                <m:r>
                  <m:t xml:space="preserve">V</m:t>
                </m:r>
              </m:e>
              <m:sub>
                <m:r>
                  <m:t xml:space="preserve">W</m:t>
                </m:r>
              </m:sub>
            </m:sSub>
            <m:r>
              <m:t xml:space="preserve">−</m:t>
            </m:r>
            <m:r>
              <m:t xml:space="preserve">y</m:t>
            </m:r>
            <m:r>
              <m:t xml:space="preserve">(</m:t>
            </m:r>
            <m:r>
              <m:t xml:space="preserve">k</m:t>
            </m:r>
            <m:r>
              <m:t xml:space="preserve">−</m:t>
            </m:r>
            <m:r>
              <m:t xml:space="preserve">1</m:t>
            </m:r>
            <m:r>
              <m:t xml:space="preserve">)</m:t>
            </m:r>
            <m:sSub>
              <m:e>
                <m:r>
                  <m:t xml:space="preserve">V</m:t>
                </m:r>
              </m:e>
              <m:sub>
                <m:r>
                  <m:t xml:space="preserve">W</m:t>
                </m:r>
              </m:sub>
            </m:sSub>
          </m:e>
          <m:e>
            <m:sSub>
              <m:e>
                <m:r>
                  <m:t xml:space="preserve">f</m:t>
                </m:r>
              </m:e>
              <m:sub>
                <m:r>
                  <m:t xml:space="preserve">i</m:t>
                </m:r>
                <m:r>
                  <m:t xml:space="preserve">,</m:t>
                </m:r>
                <m:r>
                  <m:t xml:space="preserve">k</m:t>
                </m:r>
                <m:r>
                  <m:t xml:space="preserve">=</m:t>
                </m:r>
                <m:r>
                  <m:t xml:space="preserve">0</m:t>
                </m:r>
                <m:r>
                  <m:t xml:space="preserve">,</m:t>
                </m:r>
                <m:r>
                  <m:t xml:space="preserve">T</m:t>
                </m:r>
              </m:sub>
            </m:sSub>
            <m:r>
              <m:t xml:space="preserve">=</m:t>
            </m:r>
            <m:r>
              <m:t xml:space="preserve">0</m:t>
            </m:r>
          </m:e>
        </m:eqArr>
      </m:oMath>
      <w:r>
        <w:rPr>
          <w:position w:val="-32"/>
        </w:rPr>
        <w:t xml:space="preserve">                                                                                               </w:t>
      </w:r>
      <w:r>
        <w:rPr>
          <w:position w:val="-32"/>
        </w:rPr>
        <w:t>(6)</w:t>
      </w:r>
    </w:p>
    <w:p>
      <w:pPr>
        <w:pStyle w:val="Normal"/>
        <w:widowControl/>
        <w:spacing w:lineRule="auto" w:line="360"/>
        <w:rPr>
          <w:position w:val="-38"/>
        </w:rPr>
      </w:pPr>
      <w:r>
        <w:rPr>
          <w:position w:val="-38"/>
        </w:rPr>
      </w:r>
    </w:p>
    <w:p>
      <w:pPr>
        <w:pStyle w:val="Heading3"/>
        <w:ind w:hanging="0" w:start="0"/>
        <w:rPr/>
      </w:pPr>
      <w:r>
        <w:rPr/>
        <w:t>II. 5  The Valuation Algorithm</w:t>
      </w:r>
    </w:p>
    <w:p>
      <w:pPr>
        <w:pStyle w:val="Normal"/>
        <w:rPr/>
      </w:pPr>
      <w:r>
        <w:rPr/>
        <w:t xml:space="preserve">The proposed storage valuation algorithm is composed of the three modeling technologies mentioned above. Namely we use the HJM to model the forward curve movements, use the AMC to build the tree for the decision variables and use dynamic programming to make optimal decision at each node on the tree to maximize the present value of the storage operation.  Figure 4 depicts the entire procedure. </w:t>
      </w:r>
    </w:p>
    <w:p>
      <w:pPr>
        <w:pStyle w:val="Normal"/>
        <w:rPr/>
      </w:pPr>
      <w:r>
        <w:rPr/>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72">
            <wp:simplePos x="0" y="0"/>
            <wp:positionH relativeFrom="column">
              <wp:posOffset>0</wp:posOffset>
            </wp:positionH>
            <wp:positionV relativeFrom="paragraph">
              <wp:posOffset>635</wp:posOffset>
            </wp:positionV>
            <wp:extent cx="5484495" cy="3323590"/>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8"/>
                    <a:srcRect l="-4" t="-7" r="-4" b="-7"/>
                    <a:stretch>
                      <a:fillRect/>
                    </a:stretch>
                  </pic:blipFill>
                  <pic:spPr bwMode="auto">
                    <a:xfrm>
                      <a:off x="0" y="0"/>
                      <a:ext cx="5484495" cy="3323590"/>
                    </a:xfrm>
                    <a:prstGeom prst="rect">
                      <a:avLst/>
                    </a:prstGeom>
                    <a:noFill/>
                  </pic:spPr>
                </pic:pic>
              </a:graphicData>
            </a:graphic>
          </wp:anchor>
        </w:drawing>
      </w:r>
      <w:r>
        <w:rPr/>
        <w:t>Fig. 4. Storage Valuation Algorithm</w:t>
      </w:r>
    </w:p>
    <w:p>
      <w:pPr>
        <w:pStyle w:val="Normal"/>
        <w:rPr/>
      </w:pPr>
      <w:r>
        <w:rPr/>
      </w:r>
    </w:p>
    <w:p>
      <w:pPr>
        <w:pStyle w:val="Normal"/>
        <w:rPr/>
      </w:pPr>
      <w:r>
        <w:rPr/>
      </w:r>
    </w:p>
    <w:p>
      <w:pPr>
        <w:pStyle w:val="Heading4"/>
        <w:numPr>
          <w:ilvl w:val="0"/>
          <w:numId w:val="2"/>
        </w:numPr>
        <w:ind w:hanging="0" w:start="0"/>
        <w:rPr/>
      </w:pPr>
      <w:r>
        <w:rPr/>
        <w:t xml:space="preserve">        </w:t>
      </w:r>
      <w:r>
        <w:rPr/>
        <w:tab/>
        <w:t>Model Inputs and Outputs</w:t>
      </w:r>
    </w:p>
    <w:p>
      <w:pPr>
        <w:pStyle w:val="Normal"/>
        <w:rPr/>
      </w:pPr>
      <w:r>
        <w:rPr/>
      </w:r>
    </w:p>
    <w:p>
      <w:pPr>
        <w:pStyle w:val="Normal"/>
        <w:rPr/>
      </w:pPr>
      <w:r>
        <w:rPr/>
        <w:t xml:space="preserve">The inputs to the storage model can be classified into three categories: </w:t>
      </w:r>
    </w:p>
    <w:p>
      <w:pPr>
        <w:pStyle w:val="Normal"/>
        <w:numPr>
          <w:ilvl w:val="0"/>
          <w:numId w:val="3"/>
        </w:numPr>
        <w:rPr/>
      </w:pPr>
      <w:r>
        <w:rPr/>
        <w:t xml:space="preserve">Financial and operation parameters include informations such as discount rate, storage contract term, starting gas volume, injection/withdraw fees and penalty. </w:t>
      </w:r>
    </w:p>
    <w:p>
      <w:pPr>
        <w:pStyle w:val="Normal"/>
        <w:numPr>
          <w:ilvl w:val="0"/>
          <w:numId w:val="3"/>
        </w:numPr>
        <w:rPr/>
      </w:pPr>
      <w:r>
        <w:rPr/>
        <w:t>Curve inputs which include forward prices, forward price volatilities, delivery month spot volatility curve, historical factor loadings, seasonal bias, seasonal correlation between the spot and the prompt month forward, and physical injection/withdrawal capability of the storage facility.</w:t>
      </w:r>
    </w:p>
    <w:p>
      <w:pPr>
        <w:pStyle w:val="Normal"/>
        <w:numPr>
          <w:ilvl w:val="0"/>
          <w:numId w:val="3"/>
        </w:numPr>
        <w:rPr/>
      </w:pPr>
      <w:r>
        <w:rPr/>
        <w:t>Simulation parameters. Number of Monte-Carlo simulations, time step and state space dimensions fall in this category.</w:t>
      </w:r>
    </w:p>
    <w:p>
      <w:pPr>
        <w:pStyle w:val="Normal"/>
        <w:rPr/>
      </w:pPr>
      <w:r>
        <w:rPr/>
      </w:r>
    </w:p>
    <w:p>
      <w:pPr>
        <w:pStyle w:val="Normal"/>
        <w:rPr/>
      </w:pPr>
      <w:r>
        <w:rPr/>
        <w:t xml:space="preserve">The output of the model is the present value of the storage revenues for the contract term. As a trading tool we can give Deltas and other risk parameters through finite difference methods. </w:t>
      </w:r>
    </w:p>
    <w:p>
      <w:pPr>
        <w:pStyle w:val="Normal"/>
        <w:rPr/>
      </w:pPr>
      <w:r>
        <w:rPr/>
      </w:r>
    </w:p>
    <w:p>
      <w:pPr>
        <w:pStyle w:val="Normal"/>
        <w:rPr/>
      </w:pPr>
      <w:r>
        <w:rPr>
          <w:b/>
        </w:rPr>
        <w:t>III. 1</w:t>
      </w:r>
      <w:r>
        <w:rPr/>
        <w:tab/>
      </w:r>
      <w:r>
        <w:rPr>
          <w:b/>
        </w:rPr>
        <w:t>A Worked Example</w:t>
      </w:r>
    </w:p>
    <w:p>
      <w:pPr>
        <w:pStyle w:val="Normal"/>
        <w:rPr>
          <w:b/>
        </w:rPr>
      </w:pPr>
      <w:r>
        <w:rPr>
          <w:b/>
        </w:rPr>
      </w:r>
    </w:p>
    <w:p>
      <w:pPr>
        <w:pStyle w:val="Normal"/>
        <w:rPr/>
      </w:pPr>
      <w:r>
        <w:rPr/>
        <w:t>We illustrate the model  I/O through an example of a salt dome storage facility that Enron owns and operates.  This storage has 4 BCF (billion cubic feet) capacity, daily injection rate is 0.2 BCF, and daily withdraw rate is 0.4 BCF. Therefore it can complete one cycle in about one month.  The financial and operational parameters are shown in Fig. 5.  The storage contract is for 12 month starting March-00. The forward price and volatility curves are shown in Fig. 6.   The delivery month volatility curve is plotted in Fig. 7. The seasonal bias and correlation between the spot and prompt month forward prices are listed in Table 1.</w:t>
      </w:r>
    </w:p>
    <w:p>
      <w:pPr>
        <w:pStyle w:val="Normal"/>
        <w:rPr/>
      </w:pPr>
      <w:r>
        <w:rPr/>
      </w:r>
    </w:p>
    <w:p>
      <w:pPr>
        <w:pStyle w:val="Normal"/>
        <w:rPr/>
      </w:pPr>
      <w:r>
        <w:rPr/>
        <w:t xml:space="preserve">For this particular storage contract, the model gives $1.11/mmBtu. Converted to a monthly price, the storage value is about 9.3 cents/mmBtu.  The market bid and ask for this contract is 7-12 cents/mmBtu per month. </w:t>
      </w:r>
    </w:p>
    <w:p>
      <w:pPr>
        <w:pStyle w:val="Normal"/>
        <w:rPr/>
      </w:pPr>
      <w:r>
        <w:rPr/>
      </w:r>
    </w:p>
    <w:p>
      <w:pPr>
        <w:pStyle w:val="Normal"/>
        <w:rPr/>
      </w:pPr>
      <w:r>
        <w:rPr/>
      </w:r>
    </w:p>
    <w:p>
      <w:pPr>
        <w:pStyle w:val="Normal"/>
        <w:rPr/>
      </w:pPr>
      <w:r>
        <w:rPr/>
      </w:r>
    </w:p>
    <w:p>
      <w:pPr>
        <w:pStyle w:val="Normal"/>
        <w:rPr/>
      </w:pPr>
      <w:r>
        <w:rPr/>
      </w:r>
    </w:p>
    <w:p>
      <w:pPr>
        <w:pStyle w:val="Normal"/>
        <w:rPr>
          <w:b/>
        </w:rPr>
      </w:pPr>
      <w:r>
        <w:rPr>
          <w:b/>
        </w:rPr>
      </w:r>
      <w:r>
        <w:br w:type="page"/>
      </w:r>
    </w:p>
    <w:p>
      <w:pPr>
        <w:pStyle w:val="Normal"/>
        <w:rPr>
          <w:b/>
        </w:rPr>
      </w:pPr>
      <w:r>
        <w:rPr>
          <w:b/>
        </w:rPr>
      </w:r>
    </w:p>
    <w:p>
      <w:pPr>
        <w:pStyle w:val="Normal"/>
        <w:rPr/>
      </w:pPr>
      <w:r>
        <w:drawing>
          <wp:anchor behindDoc="0" distT="0" distB="0" distL="114935" distR="114935" simplePos="0" locked="0" layoutInCell="0" allowOverlap="1" relativeHeight="76">
            <wp:simplePos x="0" y="0"/>
            <wp:positionH relativeFrom="column">
              <wp:posOffset>45720</wp:posOffset>
            </wp:positionH>
            <wp:positionV relativeFrom="paragraph">
              <wp:posOffset>-423545</wp:posOffset>
            </wp:positionV>
            <wp:extent cx="3399790" cy="2295525"/>
            <wp:effectExtent l="0" t="0" r="0" b="0"/>
            <wp:wrapTopAndBottom/>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9"/>
                    <a:srcRect l="-11" t="-16" r="-11" b="-16"/>
                    <a:stretch>
                      <a:fillRect/>
                    </a:stretch>
                  </pic:blipFill>
                  <pic:spPr bwMode="auto">
                    <a:xfrm>
                      <a:off x="0" y="0"/>
                      <a:ext cx="3399790" cy="2295525"/>
                    </a:xfrm>
                    <a:prstGeom prst="rect">
                      <a:avLst/>
                    </a:prstGeom>
                    <a:noFill/>
                  </pic:spPr>
                </pic:pic>
              </a:graphicData>
            </a:graphic>
          </wp:anchor>
        </w:drawing>
      </w:r>
      <w:r>
        <w:rPr/>
        <w:t>Fig. 5  Financial and operation parameters</w:t>
      </w:r>
    </w:p>
    <w:p>
      <w:pPr>
        <w:pStyle w:val="Normal"/>
        <w:rPr/>
      </w:pPr>
      <w:r>
        <w:rPr/>
      </w:r>
    </w:p>
    <w:p>
      <w:pPr>
        <w:pStyle w:val="Normal"/>
        <w:numPr>
          <w:ilvl w:val="0"/>
          <w:numId w:val="0"/>
        </w:numPr>
        <w:rPr/>
      </w:pPr>
      <w:r>
        <w:rPr/>
        <w:drawing>
          <wp:anchor behindDoc="0" distT="0" distB="0" distL="114935" distR="114935" simplePos="0" locked="0" layoutInCell="0" allowOverlap="1" relativeHeight="75">
            <wp:simplePos x="0" y="0"/>
            <wp:positionH relativeFrom="column">
              <wp:posOffset>-45720</wp:posOffset>
            </wp:positionH>
            <wp:positionV relativeFrom="paragraph">
              <wp:posOffset>91440</wp:posOffset>
            </wp:positionV>
            <wp:extent cx="4848225" cy="5029200"/>
            <wp:effectExtent l="0" t="0" r="0" b="0"/>
            <wp:wrapTopAndBottom/>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10"/>
                    <a:srcRect l="-7" t="-7" r="-7" b="-7"/>
                    <a:stretch>
                      <a:fillRect/>
                    </a:stretch>
                  </pic:blipFill>
                  <pic:spPr bwMode="auto">
                    <a:xfrm>
                      <a:off x="0" y="0"/>
                      <a:ext cx="4848225" cy="5029200"/>
                    </a:xfrm>
                    <a:prstGeom prst="rect">
                      <a:avLst/>
                    </a:prstGeom>
                    <a:noFill/>
                  </pic:spPr>
                </pic:pic>
              </a:graphicData>
            </a:graphic>
          </wp:anchor>
        </w:drawing>
      </w:r>
      <w:r>
        <w:br w:type="page"/>
      </w:r>
      <w:r>
        <mc:AlternateContent>
          <mc:Choice Requires="wps">
            <w:drawing>
              <wp:anchor behindDoc="0" distT="0" distB="0" distL="114935" distR="114935" simplePos="0" locked="0" layoutInCell="1" allowOverlap="1" relativeHeight="77">
                <wp:simplePos x="0" y="0"/>
                <wp:positionH relativeFrom="column">
                  <wp:posOffset>-50165</wp:posOffset>
                </wp:positionH>
                <wp:positionV relativeFrom="paragraph">
                  <wp:posOffset>5299075</wp:posOffset>
                </wp:positionV>
                <wp:extent cx="4489450" cy="374650"/>
                <wp:effectExtent l="0" t="0" r="0" b="0"/>
                <wp:wrapNone/>
                <wp:docPr id="7" name="Frame2"/>
                <a:graphic xmlns:a="http://schemas.openxmlformats.org/drawingml/2006/main">
                  <a:graphicData uri="http://schemas.microsoft.com/office/word/2010/wordprocessingShape">
                    <wps:wsp>
                      <wps:cNvSpPr txBox="1"/>
                      <wps:spPr>
                        <a:xfrm>
                          <a:off x="0" y="0"/>
                          <a:ext cx="4489450" cy="374650"/>
                        </a:xfrm>
                        <a:prstGeom prst="rect"/>
                        <a:solidFill>
                          <a:srgbClr val="FFFFFF"/>
                        </a:solidFill>
                        <a:ln w="9525">
                          <a:solidFill>
                            <a:srgbClr val="FFFFFF"/>
                          </a:solidFill>
                        </a:ln>
                      </wps:spPr>
                      <wps:txbx>
                        <w:txbxContent>
                          <w:p>
                            <w:pPr>
                              <w:pStyle w:val="Normal"/>
                              <w:rPr/>
                            </w:pPr>
                            <w:r>
                              <w:rPr/>
                              <w:t>Fig. 6. Forward and volatility curves</w:t>
                            </w:r>
                          </w:p>
                        </w:txbxContent>
                      </wps:txbx>
                      <wps:bodyPr anchor="t" lIns="91440" tIns="45720" rIns="91440" bIns="45720">
                        <a:noAutofit/>
                      </wps:bodyPr>
                    </wps:wsp>
                  </a:graphicData>
                </a:graphic>
              </wp:anchor>
            </w:drawing>
          </mc:Choice>
          <mc:Fallback>
            <w:pict>
              <v:rect fillcolor="#FFFFFF" strokecolor="#FFFFFF" strokeweight="0pt" style="position:absolute;rotation:-0;width:353.5pt;height:29.5pt;mso-wrap-distance-left:9.05pt;mso-wrap-distance-right:9.05pt;mso-wrap-distance-top:0pt;mso-wrap-distance-bottom:0pt;margin-top:417.25pt;mso-position-vertical-relative:text;margin-left:-3.95pt;mso-position-horizontal-relative:text">
                <v:textbox>
                  <w:txbxContent>
                    <w:p>
                      <w:pPr>
                        <w:pStyle w:val="Normal"/>
                        <w:rPr/>
                      </w:pPr>
                      <w:r>
                        <w:rPr/>
                        <w:t>Fig. 6. Forward and volatility curves</w:t>
                      </w:r>
                    </w:p>
                  </w:txbxContent>
                </v:textbox>
                <w10:wrap type="none"/>
              </v:rect>
            </w:pict>
          </mc:Fallback>
        </mc:AlternateContent>
      </w:r>
    </w:p>
    <w:p>
      <w:pPr>
        <w:pStyle w:val="Normal"/>
        <w:rPr/>
      </w:pPr>
      <w:r>
        <w:rPr/>
      </w:r>
    </w:p>
    <w:p>
      <w:pPr>
        <w:pStyle w:val="Normal"/>
        <w:rPr>
          <w:lang w:val="en-CA"/>
        </w:rPr>
      </w:pPr>
      <w:r>
        <w:rPr>
          <w:lang w:val="en-CA"/>
        </w:rPr>
        <w:object w:dxaOrig="6336" w:dyaOrig="3698">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3.6pt;margin-top:-40.55pt;width:316.8pt;height:184.9pt;mso-wrap-distance-left:9.05pt;mso-wrap-distance-right:9.05pt;mso-position-horizontal-relative:text;mso-position-vertical-relative:text" filled="f" o:ole="">
            <v:imagedata r:id="rId12" o:title=""/>
          </v:shape>
          <o:OLEObject Type="Embed" ProgID="" ShapeID="ole_rId11" DrawAspect="Content" ObjectID="_1300576817" r:id="rId11"/>
        </w:obje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Fig.  7. Delivery month (forward-forward) volatility curve</w:t>
      </w:r>
    </w:p>
    <w:p>
      <w:pPr>
        <w:pStyle w:val="Normal"/>
        <w:rPr/>
      </w:pPr>
      <w:r>
        <w:rPr/>
      </w:r>
    </w:p>
    <w:p>
      <w:pPr>
        <w:pStyle w:val="Normal"/>
        <w:rPr/>
      </w:pPr>
      <w:r>
        <w:rPr/>
      </w:r>
    </w:p>
    <w:p>
      <w:pPr>
        <w:pStyle w:val="Normal"/>
        <w:rPr/>
      </w:pPr>
      <w:r>
        <w:rPr/>
      </w:r>
    </w:p>
    <w:p>
      <w:pPr>
        <w:pStyle w:val="Normal"/>
        <w:rPr/>
      </w:pPr>
      <w:r>
        <w:rPr/>
      </w:r>
    </w:p>
    <w:p>
      <w:pPr>
        <w:pStyle w:val="Normal"/>
        <w:rPr>
          <w:b/>
        </w:rPr>
      </w:pPr>
      <w:r>
        <w:rPr>
          <w:b/>
        </w:rPr>
      </w:r>
    </w:p>
    <w:p>
      <w:pPr>
        <w:pStyle w:val="Heading4"/>
        <w:numPr>
          <w:ilvl w:val="0"/>
          <w:numId w:val="0"/>
        </w:numPr>
        <w:ind w:hanging="0" w:start="0"/>
        <w:rPr>
          <w:b w:val="false"/>
        </w:rPr>
      </w:pPr>
      <w:r>
        <w:rPr>
          <w:b w:val="false"/>
        </w:rPr>
        <w:drawing>
          <wp:anchor behindDoc="0" distT="0" distB="0" distL="114935" distR="114935" simplePos="0" locked="0" layoutInCell="0" allowOverlap="1" relativeHeight="74">
            <wp:simplePos x="0" y="0"/>
            <wp:positionH relativeFrom="column">
              <wp:posOffset>45720</wp:posOffset>
            </wp:positionH>
            <wp:positionV relativeFrom="paragraph">
              <wp:posOffset>-91440</wp:posOffset>
            </wp:positionV>
            <wp:extent cx="2106295" cy="2237105"/>
            <wp:effectExtent l="0" t="0" r="0" b="0"/>
            <wp:wrapTopAndBottom/>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3"/>
                    <a:srcRect l="-17" t="-16" r="-17" b="-16"/>
                    <a:stretch>
                      <a:fillRect/>
                    </a:stretch>
                  </pic:blipFill>
                  <pic:spPr bwMode="auto">
                    <a:xfrm>
                      <a:off x="0" y="0"/>
                      <a:ext cx="2106295" cy="2237105"/>
                    </a:xfrm>
                    <a:prstGeom prst="rect">
                      <a:avLst/>
                    </a:prstGeom>
                    <a:noFill/>
                  </pic:spPr>
                </pic:pic>
              </a:graphicData>
            </a:graphic>
          </wp:anchor>
        </w:drawing>
      </w:r>
    </w:p>
    <w:p>
      <w:pPr>
        <w:pStyle w:val="Heading4"/>
        <w:numPr>
          <w:ilvl w:val="0"/>
          <w:numId w:val="0"/>
        </w:numPr>
        <w:ind w:hanging="0" w:start="0"/>
        <w:rPr/>
      </w:pPr>
      <w:r>
        <w:rPr>
          <w:b w:val="false"/>
        </w:rPr>
        <w:t>Table 1. The seasonal bias and correlation</w:t>
      </w:r>
      <w:r>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rPr/>
      </w:pPr>
      <w:r>
        <w:rPr/>
      </w:r>
    </w:p>
    <w:sectPr>
      <w:footerReference w:type="default" r:id="rId1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1">
              <wp:simplePos x="0" y="0"/>
              <wp:positionH relativeFrom="margin">
                <wp:align>center</wp:align>
              </wp:positionH>
              <wp:positionV relativeFrom="paragraph">
                <wp:posOffset>635</wp:posOffset>
              </wp:positionV>
              <wp:extent cx="128270" cy="146685"/>
              <wp:effectExtent l="0" t="0" r="0" b="0"/>
              <wp:wrapSquare wrapText="bothSides"/>
              <wp:docPr id="9"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
      <w:lvlJc w:val="start"/>
      <w:pPr>
        <w:tabs>
          <w:tab w:val="num" w:pos="360"/>
        </w:tabs>
        <w:ind w:start="360" w:hanging="360"/>
      </w:pPr>
      <w:rPr>
        <w:sz w:val="20"/>
        <w:i w:val="false"/>
        <w:u w:val="none"/>
        <w:b/>
        <w:rFonts w:ascii="Times New Roman" w:hAnsi="Times New Roman" w:cs="Times New Roman"/>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720" w:start="720" w:end="0"/>
      <w:outlineLvl w:val="1"/>
    </w:pPr>
    <w:rPr>
      <w:b/>
    </w:rPr>
  </w:style>
  <w:style w:type="paragraph" w:styleId="Heading3">
    <w:name w:val="heading 3"/>
    <w:basedOn w:val="Normal"/>
    <w:next w:val="Normal"/>
    <w:qFormat/>
    <w:pPr>
      <w:keepNext w:val="true"/>
      <w:widowControl/>
      <w:numPr>
        <w:ilvl w:val="2"/>
        <w:numId w:val="1"/>
      </w:numPr>
      <w:spacing w:lineRule="auto" w:line="360"/>
      <w:outlineLvl w:val="2"/>
    </w:pPr>
    <w:rPr>
      <w:b/>
      <w:position w:val="-32"/>
    </w:rPr>
  </w:style>
  <w:style w:type="paragraph" w:styleId="Heading4">
    <w:name w:val="heading 4"/>
    <w:basedOn w:val="Normal"/>
    <w:next w:val="Normal"/>
    <w:qFormat/>
    <w:pPr>
      <w:keepNext w:val="true"/>
      <w:numPr>
        <w:ilvl w:val="0"/>
        <w:numId w:val="2"/>
      </w:numPr>
      <w:outlineLvl w:val="3"/>
    </w:pPr>
    <w:rPr>
      <w:b/>
    </w:rPr>
  </w:style>
  <w:style w:type="character" w:styleId="WW8Num1z0">
    <w:name w:val="WW8Num1z0"/>
    <w:qFormat/>
    <w:rPr>
      <w:rFonts w:ascii="Times New Roman" w:hAnsi="Times New Roman" w:cs="Times New Roman"/>
      <w:b/>
      <w:i w:val="false"/>
      <w:sz w:val="20"/>
      <w:u w:val="non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widowControl/>
      <w:ind w:hanging="0" w:start="0" w:end="-18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oleObject" Target="embeddings/oleObject2.bin"/><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png"/><Relationship Id="rId10" Type="http://schemas.openxmlformats.org/officeDocument/2006/relationships/image" Target="media/image6.wmf"/><Relationship Id="rId11" Type="http://schemas.openxmlformats.org/officeDocument/2006/relationships/oleObject" Target="embeddings/oleObject3.bin"/><Relationship Id="rId12" Type="http://schemas.openxmlformats.org/officeDocument/2006/relationships/image" Target="media/image7.wmf"/><Relationship Id="rId13" Type="http://schemas.openxmlformats.org/officeDocument/2006/relationships/image" Target="media/image8.wmf"/><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2000-03-17T13:22:00Z</dcterms:created>
  <dc:creator>Zimin Lu</dc:creator>
  <dc:description/>
  <dc:language>en-CA</dc:language>
  <cp:lastModifiedBy>zlu</cp:lastModifiedBy>
  <cp:lastPrinted>2000-03-02T10:47:00Z</cp:lastPrinted>
  <dcterms:modified xsi:type="dcterms:W3CDTF">2000-03-17T13:49:00Z</dcterms:modified>
  <cp:revision>7</cp:revision>
  <dc:subject/>
  <dc:title>Real Option Approach to Natural Gas Storage Valuation</dc:title>
</cp:coreProperties>
</file>