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2964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9640" cy="914400"/>
                    </a:xfrm>
                    <a:prstGeom prst="rect">
                      <a:avLst/>
                    </a:prstGeom>
                    <a:noFill/>
                  </pic:spPr>
                </pic:pic>
              </a:graphicData>
            </a:graphic>
          </wp:inline>
        </w:drawing>
      </w:r>
    </w:p>
    <w:p>
      <w:pPr>
        <w:pStyle w:val="Heading"/>
        <w:jc w:val="center"/>
        <w:rPr/>
      </w:pPr>
      <w:r>
        <w:rPr/>
        <w:t>*** Attorney Client Privilege ***</w:t>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color w:val="000080"/>
                <w:sz w:val="16"/>
              </w:rPr>
            </w:pPr>
            <w:r>
              <w:rPr>
                <w:color w:val="000080"/>
                <w:sz w:val="16"/>
              </w:rPr>
              <w:t>To:</w:t>
            </w:r>
          </w:p>
        </w:tc>
        <w:tc>
          <w:tcPr>
            <w:tcW w:w="6045" w:type="dxa"/>
            <w:tcBorders/>
          </w:tcPr>
          <w:p>
            <w:pPr>
              <w:pStyle w:val="To"/>
              <w:rPr>
                <w:color w:val="000080"/>
              </w:rPr>
            </w:pPr>
            <w:bookmarkStart w:id="0" w:name="to"/>
            <w:bookmarkEnd w:id="0"/>
            <w:r>
              <w:rPr>
                <w:color w:val="000080"/>
              </w:rPr>
              <w:t>Rod Hayslett</w:t>
            </w:r>
          </w:p>
        </w:tc>
        <w:tc>
          <w:tcPr>
            <w:tcW w:w="990" w:type="dxa"/>
            <w:tcBorders/>
          </w:tcPr>
          <w:p>
            <w:pPr>
              <w:pStyle w:val="Normal"/>
              <w:snapToGrid w:val="false"/>
              <w:ind w:start="-180" w:end="0"/>
              <w:rPr>
                <w:color w:val="000080"/>
              </w:rPr>
            </w:pPr>
            <w:r>
              <w:rPr>
                <w:color w:val="000080"/>
              </w:rPr>
            </w:r>
          </w:p>
        </w:tc>
        <w:tc>
          <w:tcPr>
            <w:tcW w:w="2965" w:type="dxa"/>
            <w:tcBorders/>
          </w:tcPr>
          <w:p>
            <w:pPr>
              <w:pStyle w:val="Normal"/>
              <w:snapToGrid w:val="false"/>
              <w:rPr>
                <w:color w:val="000080"/>
              </w:rPr>
            </w:pPr>
            <w:r>
              <w:rPr>
                <w:color w:val="000080"/>
              </w:rPr>
            </w:r>
          </w:p>
        </w:tc>
      </w:tr>
      <w:tr>
        <w:trPr>
          <w:trHeight w:val="216" w:hRule="exact"/>
        </w:trPr>
        <w:tc>
          <w:tcPr>
            <w:tcW w:w="708" w:type="dxa"/>
            <w:tcBorders/>
          </w:tcPr>
          <w:p>
            <w:pPr>
              <w:pStyle w:val="Normal"/>
              <w:snapToGrid w:val="false"/>
              <w:ind w:start="-180" w:end="0"/>
              <w:jc w:val="end"/>
              <w:rPr>
                <w:color w:val="000080"/>
                <w:sz w:val="18"/>
              </w:rPr>
            </w:pPr>
            <w:r>
              <w:rPr>
                <w:color w:val="000080"/>
                <w:sz w:val="18"/>
              </w:rPr>
            </w:r>
          </w:p>
        </w:tc>
        <w:tc>
          <w:tcPr>
            <w:tcW w:w="6045" w:type="dxa"/>
            <w:tcBorders/>
          </w:tcPr>
          <w:p>
            <w:pPr>
              <w:pStyle w:val="Normal"/>
              <w:snapToGrid w:val="false"/>
              <w:rPr>
                <w:color w:val="000080"/>
                <w:sz w:val="18"/>
              </w:rPr>
            </w:pPr>
            <w:r>
              <w:rPr>
                <w:color w:val="000080"/>
                <w:sz w:val="18"/>
              </w:rPr>
            </w:r>
          </w:p>
        </w:tc>
        <w:tc>
          <w:tcPr>
            <w:tcW w:w="990" w:type="dxa"/>
            <w:tcBorders/>
          </w:tcPr>
          <w:p>
            <w:pPr>
              <w:pStyle w:val="Normal"/>
              <w:snapToGrid w:val="false"/>
              <w:ind w:start="-180" w:end="0"/>
              <w:rPr>
                <w:color w:val="000080"/>
                <w:sz w:val="18"/>
              </w:rPr>
            </w:pPr>
            <w:r>
              <w:rPr>
                <w:color w:val="000080"/>
                <w:sz w:val="18"/>
              </w:rPr>
            </w:r>
          </w:p>
        </w:tc>
        <w:tc>
          <w:tcPr>
            <w:tcW w:w="2965" w:type="dxa"/>
            <w:tcBorders/>
          </w:tcPr>
          <w:p>
            <w:pPr>
              <w:pStyle w:val="Normal"/>
              <w:snapToGrid w:val="false"/>
              <w:rPr>
                <w:color w:val="000080"/>
                <w:sz w:val="18"/>
              </w:rPr>
            </w:pPr>
            <w:r>
              <w:rPr>
                <w:color w:val="000080"/>
                <w:sz w:val="18"/>
              </w:rPr>
            </w:r>
          </w:p>
        </w:tc>
      </w:tr>
      <w:tr>
        <w:trPr>
          <w:trHeight w:val="300" w:hRule="exact"/>
        </w:trPr>
        <w:tc>
          <w:tcPr>
            <w:tcW w:w="708" w:type="dxa"/>
            <w:tcBorders/>
          </w:tcPr>
          <w:p>
            <w:pPr>
              <w:pStyle w:val="Normal"/>
              <w:ind w:start="-180" w:end="0"/>
              <w:jc w:val="end"/>
              <w:rPr>
                <w:color w:val="000080"/>
                <w:sz w:val="16"/>
              </w:rPr>
            </w:pPr>
            <w:r>
              <w:rPr>
                <w:color w:val="000080"/>
                <w:sz w:val="16"/>
              </w:rPr>
              <w:t>From:</w:t>
            </w:r>
          </w:p>
        </w:tc>
        <w:tc>
          <w:tcPr>
            <w:tcW w:w="6045" w:type="dxa"/>
            <w:tcBorders/>
          </w:tcPr>
          <w:p>
            <w:pPr>
              <w:pStyle w:val="From"/>
              <w:rPr>
                <w:color w:val="000080"/>
              </w:rPr>
            </w:pPr>
            <w:r>
              <w:rPr>
                <w:color w:val="000080"/>
              </w:rPr>
              <w:t>Bob Chandler</w:t>
            </w:r>
          </w:p>
          <w:p>
            <w:pPr>
              <w:pStyle w:val="From"/>
              <w:rPr>
                <w:color w:val="000080"/>
              </w:rPr>
            </w:pPr>
            <w:r>
              <w:rPr>
                <w:color w:val="000080"/>
              </w:rPr>
            </w:r>
          </w:p>
        </w:tc>
        <w:tc>
          <w:tcPr>
            <w:tcW w:w="990" w:type="dxa"/>
            <w:tcBorders/>
          </w:tcPr>
          <w:p>
            <w:pPr>
              <w:pStyle w:val="Normal"/>
              <w:ind w:start="-180" w:end="0"/>
              <w:jc w:val="end"/>
              <w:rPr>
                <w:color w:val="000080"/>
                <w:sz w:val="16"/>
              </w:rPr>
            </w:pPr>
            <w:r>
              <w:rPr>
                <w:color w:val="000080"/>
                <w:sz w:val="16"/>
              </w:rPr>
              <w:t>Department:</w:t>
            </w:r>
          </w:p>
        </w:tc>
        <w:tc>
          <w:tcPr>
            <w:tcW w:w="2965" w:type="dxa"/>
            <w:tcBorders/>
          </w:tcPr>
          <w:p>
            <w:pPr>
              <w:pStyle w:val="Department"/>
              <w:rPr>
                <w:color w:val="000080"/>
              </w:rPr>
            </w:pPr>
            <w:bookmarkStart w:id="1" w:name="From"/>
            <w:bookmarkEnd w:id="1"/>
            <w:r>
              <w:rPr>
                <w:color w:val="000080"/>
              </w:rPr>
              <w:t>ET&amp;S Accounting &amp; Reporting</w:t>
            </w:r>
          </w:p>
        </w:tc>
      </w:tr>
      <w:tr>
        <w:trPr>
          <w:trHeight w:val="216" w:hRule="exact"/>
        </w:trPr>
        <w:tc>
          <w:tcPr>
            <w:tcW w:w="708" w:type="dxa"/>
            <w:tcBorders/>
          </w:tcPr>
          <w:p>
            <w:pPr>
              <w:pStyle w:val="Normal"/>
              <w:snapToGrid w:val="false"/>
              <w:ind w:start="-180" w:end="0"/>
              <w:jc w:val="end"/>
              <w:rPr>
                <w:color w:val="000080"/>
                <w:sz w:val="18"/>
              </w:rPr>
            </w:pPr>
            <w:r>
              <w:rPr>
                <w:color w:val="000080"/>
                <w:sz w:val="18"/>
              </w:rPr>
            </w:r>
          </w:p>
        </w:tc>
        <w:tc>
          <w:tcPr>
            <w:tcW w:w="6045" w:type="dxa"/>
            <w:tcBorders/>
          </w:tcPr>
          <w:p>
            <w:pPr>
              <w:pStyle w:val="Normal"/>
              <w:snapToGrid w:val="false"/>
              <w:rPr>
                <w:color w:val="000080"/>
                <w:sz w:val="18"/>
              </w:rPr>
            </w:pPr>
            <w:r>
              <w:rPr>
                <w:color w:val="000080"/>
                <w:sz w:val="18"/>
              </w:rPr>
            </w:r>
          </w:p>
        </w:tc>
        <w:tc>
          <w:tcPr>
            <w:tcW w:w="990" w:type="dxa"/>
            <w:tcBorders/>
          </w:tcPr>
          <w:p>
            <w:pPr>
              <w:pStyle w:val="Normal"/>
              <w:snapToGrid w:val="false"/>
              <w:ind w:start="-180" w:end="0"/>
              <w:rPr>
                <w:color w:val="000080"/>
                <w:sz w:val="18"/>
              </w:rPr>
            </w:pPr>
            <w:r>
              <w:rPr>
                <w:color w:val="000080"/>
                <w:sz w:val="18"/>
              </w:rPr>
            </w:r>
          </w:p>
        </w:tc>
        <w:tc>
          <w:tcPr>
            <w:tcW w:w="2965" w:type="dxa"/>
            <w:tcBorders/>
          </w:tcPr>
          <w:p>
            <w:pPr>
              <w:pStyle w:val="Normal"/>
              <w:snapToGrid w:val="false"/>
              <w:rPr>
                <w:color w:val="000080"/>
                <w:sz w:val="18"/>
              </w:rPr>
            </w:pPr>
            <w:r>
              <w:rPr>
                <w:color w:val="000080"/>
                <w:sz w:val="18"/>
              </w:rPr>
            </w:r>
          </w:p>
        </w:tc>
      </w:tr>
      <w:tr>
        <w:trPr>
          <w:trHeight w:val="600" w:hRule="exact"/>
        </w:trPr>
        <w:tc>
          <w:tcPr>
            <w:tcW w:w="708" w:type="dxa"/>
            <w:tcBorders>
              <w:bottom w:val="single" w:sz="18" w:space="0" w:color="000000"/>
            </w:tcBorders>
          </w:tcPr>
          <w:p>
            <w:pPr>
              <w:pStyle w:val="Normal"/>
              <w:ind w:start="-180" w:end="0"/>
              <w:jc w:val="end"/>
              <w:rPr>
                <w:color w:val="000080"/>
                <w:sz w:val="16"/>
              </w:rPr>
            </w:pPr>
            <w:r>
              <w:rPr>
                <w:color w:val="000080"/>
                <w:sz w:val="16"/>
              </w:rPr>
              <w:t>Subject:</w:t>
            </w:r>
          </w:p>
        </w:tc>
        <w:tc>
          <w:tcPr>
            <w:tcW w:w="6045" w:type="dxa"/>
            <w:tcBorders>
              <w:bottom w:val="single" w:sz="18" w:space="0" w:color="000000"/>
            </w:tcBorders>
          </w:tcPr>
          <w:p>
            <w:pPr>
              <w:pStyle w:val="Subject"/>
              <w:rPr>
                <w:color w:val="000080"/>
              </w:rPr>
            </w:pPr>
            <w:bookmarkStart w:id="2" w:name="Subject"/>
            <w:bookmarkEnd w:id="2"/>
            <w:r>
              <w:rPr>
                <w:color w:val="000080"/>
              </w:rPr>
              <w:t>Accounting for Storage Cycle Gas Loss</w:t>
            </w:r>
          </w:p>
        </w:tc>
        <w:tc>
          <w:tcPr>
            <w:tcW w:w="990" w:type="dxa"/>
            <w:tcBorders>
              <w:bottom w:val="single" w:sz="18" w:space="0" w:color="000000"/>
            </w:tcBorders>
          </w:tcPr>
          <w:p>
            <w:pPr>
              <w:pStyle w:val="Normal"/>
              <w:ind w:start="-180" w:end="0"/>
              <w:jc w:val="end"/>
              <w:rPr>
                <w:color w:val="000080"/>
                <w:sz w:val="16"/>
              </w:rPr>
            </w:pPr>
            <w:r>
              <w:rPr>
                <w:color w:val="000080"/>
                <w:sz w:val="16"/>
              </w:rPr>
              <w:t>Date:</w:t>
            </w:r>
          </w:p>
        </w:tc>
        <w:tc>
          <w:tcPr>
            <w:tcW w:w="2965" w:type="dxa"/>
            <w:tcBorders>
              <w:bottom w:val="single" w:sz="18" w:space="0" w:color="000000"/>
            </w:tcBorders>
          </w:tcPr>
          <w:p>
            <w:pPr>
              <w:pStyle w:val="Date"/>
              <w:rPr>
                <w:color w:val="000080"/>
              </w:rPr>
            </w:pPr>
            <w:r>
              <w:rPr>
                <w:color w:val="000080"/>
              </w:rPr>
              <w:t>April 27, 2000</w:t>
            </w:r>
          </w:p>
        </w:tc>
      </w:tr>
    </w:tbl>
    <w:p>
      <w:pPr>
        <w:pStyle w:val="Body"/>
        <w:rPr/>
      </w:pPr>
      <w:r>
        <w:rPr/>
      </w:r>
    </w:p>
    <w:p>
      <w:pPr>
        <w:pStyle w:val="Normal"/>
        <w:spacing w:lineRule="atLeast" w:line="240"/>
        <w:rPr/>
      </w:pPr>
      <w:bookmarkStart w:id="3" w:name="StartOfMemo"/>
      <w:bookmarkEnd w:id="3"/>
      <w:r>
        <w:rPr>
          <w:rFonts w:eastAsia="Arial"/>
          <w:color w:val="000080"/>
          <w:sz w:val="22"/>
        </w:rPr>
        <w:t xml:space="preserve"> </w:t>
      </w:r>
      <w:r>
        <w:rPr>
          <w:b/>
          <w:color w:val="000080"/>
          <w:sz w:val="22"/>
        </w:rPr>
        <w:t>Background</w:t>
      </w:r>
    </w:p>
    <w:p>
      <w:pPr>
        <w:pStyle w:val="Normal"/>
        <w:spacing w:lineRule="atLeast" w:line="240"/>
        <w:rPr>
          <w:b/>
          <w:color w:val="000080"/>
          <w:sz w:val="22"/>
        </w:rPr>
      </w:pPr>
      <w:r>
        <w:rPr>
          <w:b/>
          <w:color w:val="000080"/>
          <w:sz w:val="22"/>
        </w:rPr>
      </w:r>
    </w:p>
    <w:p>
      <w:pPr>
        <w:pStyle w:val="Normal"/>
        <w:spacing w:lineRule="atLeast" w:line="240"/>
        <w:rPr>
          <w:color w:val="000080"/>
          <w:sz w:val="22"/>
        </w:rPr>
      </w:pPr>
      <w:r>
        <w:rPr>
          <w:color w:val="000080"/>
          <w:sz w:val="22"/>
        </w:rPr>
        <w:t xml:space="preserve">Experience in recent years with the Redfield and Lyons underground storage fields has been that, on average, only 99% of cycle volumes injected are recovered during the subsequent withdrawal cycle.  This persistent gas loss is a physical characteristic of “water drive” reservoirs; therefore, this phenomenon does not apply to the Cunningham field which is a volumetric pressure depletion drive reservoir.  In the cases of Lyons and Redfield, our reservoir engineer indicates that the 1% gas loss occurs during the storage cycle when the injection of gas volumes pushes a small portion of the gas in the reservoir beyond the confines of the storage structure and is effectively lost.  Our current accounting procedure records the measured injections and withdrawals as they occur and does not recognize a gas loss.  This results in a cumulative total of gas-in-place volumes that includes volumes which have been pushed beyond the confines of the storage reservoirs.  A procedure is needed to accrue for these gas losses on an on-going basis to recognize the losses for accounting purposes and to provide for recovery of the losses through Northern’s PRA mechanism. </w:t>
      </w:r>
    </w:p>
    <w:p>
      <w:pPr>
        <w:pStyle w:val="Normal"/>
        <w:spacing w:lineRule="atLeast" w:line="240"/>
        <w:rPr>
          <w:color w:val="000080"/>
          <w:sz w:val="22"/>
        </w:rPr>
      </w:pPr>
      <w:r>
        <w:rPr>
          <w:color w:val="000080"/>
          <w:sz w:val="22"/>
        </w:rPr>
      </w:r>
    </w:p>
    <w:p>
      <w:pPr>
        <w:pStyle w:val="Heading2"/>
        <w:ind w:hanging="0" w:start="0"/>
        <w:rPr/>
      </w:pPr>
      <w:r>
        <w:rPr/>
        <w:t>Proposed Accounting Procedure</w:t>
      </w:r>
    </w:p>
    <w:p>
      <w:pPr>
        <w:pStyle w:val="Heading2"/>
        <w:ind w:hanging="0" w:start="0"/>
        <w:rPr/>
      </w:pPr>
      <w:r>
        <w:rPr/>
      </w:r>
    </w:p>
    <w:p>
      <w:pPr>
        <w:pStyle w:val="Heading2"/>
        <w:ind w:hanging="0" w:start="0"/>
        <w:rPr/>
      </w:pPr>
      <w:r>
        <w:rPr>
          <w:b w:val="false"/>
        </w:rPr>
        <w:t xml:space="preserve">To recognize the estimated cycle gas loss associated with use of the Lyons and Redfield underground storage fields, we will add a 1.0% loss factor to the measured withdrawal volumes at those fields beginning with the production month of April, 2000.  This will increase the volume of unaccounted for gas (UAF) recorded each month.  Recorded UAF volumes roll-in to the PRA regulatory liability account for recovery via the PRA mechanism.   </w:t>
      </w:r>
      <w:r>
        <w:rPr/>
        <w:t xml:space="preserve">    </w:t>
      </w:r>
    </w:p>
    <w:p>
      <w:pPr>
        <w:pStyle w:val="CopyList"/>
        <w:rPr>
          <w:color w:val="000080"/>
        </w:rPr>
      </w:pPr>
      <w:r>
        <w:rPr>
          <w:color w:val="000080"/>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Page </w:t>
    </w:r>
    <w:r>
      <w:rPr/>
      <w:fldChar w:fldCharType="begin"/>
    </w:r>
    <w:r>
      <w:rPr/>
      <w:instrText xml:space="preserve"> PAGE </w:instrText>
    </w:r>
    <w:r>
      <w:rPr/>
      <w:fldChar w:fldCharType="separate"/>
    </w:r>
    <w:r>
      <w:rPr/>
      <w:t>0</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color w:val="000080"/>
      <w:sz w:val="22"/>
      <w:u w:val="single"/>
    </w:rPr>
  </w:style>
  <w:style w:type="paragraph" w:styleId="Heading2">
    <w:name w:val="heading 2"/>
    <w:basedOn w:val="Normal"/>
    <w:next w:val="Normal"/>
    <w:qFormat/>
    <w:pPr>
      <w:keepNext w:val="true"/>
      <w:numPr>
        <w:ilvl w:val="1"/>
        <w:numId w:val="1"/>
      </w:numPr>
      <w:spacing w:lineRule="atLeast" w:line="240"/>
      <w:outlineLvl w:val="1"/>
    </w:pPr>
    <w:rPr>
      <w:b/>
      <w:color w:val="000080"/>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2"/>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Ene11mem.dot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2000-04-27T11:29:00Z</dcterms:created>
  <dc:creator>ET&amp;S</dc:creator>
  <dc:description/>
  <dc:language>en-CA</dc:language>
  <cp:lastModifiedBy>ET&amp;S</cp:lastModifiedBy>
  <cp:lastPrinted>2000-04-27T10:44:00Z</cp:lastPrinted>
  <dcterms:modified xsi:type="dcterms:W3CDTF">2000-04-27T13:14:00Z</dcterms:modified>
  <cp:revision>12</cp:revision>
  <dc:subject/>
  <dc:title>Better, Faster, Simpler Memo </dc:title>
</cp:coreProperties>
</file>