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rPr>
      </w:pPr>
      <w:r>
        <w:rPr>
          <w:rFonts w:cs="Times New Roman" w:ascii="Times New Roman" w:hAnsi="Times New Roman"/>
          <w:b/>
        </w:rPr>
        <w:t>DRAFT</w:t>
      </w:r>
    </w:p>
    <w:p>
      <w:pPr>
        <w:pStyle w:val="Normal"/>
        <w:spacing w:before="0" w:after="480"/>
        <w:jc w:val="end"/>
        <w:rPr>
          <w:rFonts w:ascii="Times New Roman" w:hAnsi="Times New Roman" w:cs="Times New Roman"/>
          <w:b/>
        </w:rPr>
      </w:pPr>
      <w:r>
        <w:rPr>
          <w:rFonts w:cs="Times New Roman" w:ascii="Times New Roman" w:hAnsi="Times New Roman"/>
          <w:b/>
        </w:rPr>
        <w:t>January 8, 2001</w:t>
      </w:r>
    </w:p>
    <w:p>
      <w:pPr>
        <w:pStyle w:val="Normal"/>
        <w:spacing w:before="0" w:after="480"/>
        <w:jc w:val="center"/>
        <w:rPr>
          <w:rFonts w:ascii="Times New Roman" w:hAnsi="Times New Roman" w:cs="Times New Roman"/>
          <w:b/>
        </w:rPr>
      </w:pPr>
      <w:r>
        <w:rPr>
          <w:rFonts w:cs="Times New Roman" w:ascii="Times New Roman" w:hAnsi="Times New Roman"/>
          <w:b/>
        </w:rPr>
        <w:t>______________________________________________________________________________</w:t>
      </w:r>
    </w:p>
    <w:p>
      <w:pPr>
        <w:pStyle w:val="Normal"/>
        <w:spacing w:before="0" w:after="480"/>
        <w:jc w:val="center"/>
        <w:rPr>
          <w:rFonts w:ascii="Times New Roman" w:hAnsi="Times New Roman" w:cs="Times New Roman"/>
          <w:b/>
        </w:rPr>
      </w:pPr>
      <w:r>
        <w:rPr>
          <w:rFonts w:cs="Times New Roman" w:ascii="Times New Roman" w:hAnsi="Times New Roman"/>
          <w:b/>
        </w:rPr>
        <w:t>NATURAL GAS FORWARD SALE AGREEMENT</w:t>
      </w:r>
    </w:p>
    <w:p>
      <w:pPr>
        <w:pStyle w:val="Normal"/>
        <w:spacing w:before="0" w:after="480"/>
        <w:jc w:val="center"/>
        <w:rPr>
          <w:rFonts w:ascii="Times New Roman" w:hAnsi="Times New Roman" w:cs="Times New Roman"/>
          <w:b/>
        </w:rPr>
      </w:pPr>
      <w:r>
        <w:rPr>
          <w:rFonts w:cs="Times New Roman" w:ascii="Times New Roman" w:hAnsi="Times New Roman"/>
          <w:b/>
        </w:rPr>
        <w:t>DATED</w:t>
      </w:r>
    </w:p>
    <w:p>
      <w:pPr>
        <w:pStyle w:val="Normal"/>
        <w:spacing w:before="0" w:after="480"/>
        <w:jc w:val="center"/>
        <w:rPr>
          <w:rFonts w:ascii="Times New Roman" w:hAnsi="Times New Roman" w:cs="Times New Roman"/>
          <w:b/>
        </w:rPr>
      </w:pPr>
      <w:r>
        <w:rPr>
          <w:rFonts w:cs="Times New Roman" w:ascii="Times New Roman" w:hAnsi="Times New Roman"/>
          <w:b/>
        </w:rPr>
        <w:t>AS OF</w:t>
      </w:r>
    </w:p>
    <w:p>
      <w:pPr>
        <w:pStyle w:val="Normal"/>
        <w:spacing w:before="0" w:after="480"/>
        <w:jc w:val="center"/>
        <w:rPr>
          <w:rFonts w:ascii="Times New Roman" w:hAnsi="Times New Roman" w:cs="Times New Roman"/>
          <w:b/>
        </w:rPr>
      </w:pPr>
      <w:r>
        <w:rPr>
          <w:rFonts w:cs="Times New Roman" w:ascii="Times New Roman" w:hAnsi="Times New Roman"/>
          <w:b/>
        </w:rPr>
        <w:t>DECEMBER 28, 2000</w:t>
      </w:r>
    </w:p>
    <w:p>
      <w:pPr>
        <w:pStyle w:val="Normal"/>
        <w:spacing w:before="0" w:after="480"/>
        <w:jc w:val="center"/>
        <w:rPr>
          <w:rFonts w:ascii="Times New Roman" w:hAnsi="Times New Roman" w:cs="Times New Roman"/>
          <w:b/>
        </w:rPr>
      </w:pPr>
      <w:r>
        <w:rPr>
          <w:rFonts w:cs="Times New Roman" w:ascii="Times New Roman" w:hAnsi="Times New Roman"/>
          <w:b/>
        </w:rPr>
        <w:t>BETWEEN</w:t>
      </w:r>
    </w:p>
    <w:p>
      <w:pPr>
        <w:pStyle w:val="Normal"/>
        <w:spacing w:before="0" w:after="480"/>
        <w:jc w:val="center"/>
        <w:rPr>
          <w:rFonts w:ascii="Times New Roman" w:hAnsi="Times New Roman" w:cs="Times New Roman"/>
          <w:b/>
        </w:rPr>
      </w:pPr>
      <w:r>
        <w:rPr>
          <w:rFonts w:cs="Times New Roman" w:ascii="Times New Roman" w:hAnsi="Times New Roman"/>
          <w:b/>
        </w:rPr>
        <w:t>STONEVILLE AEGEAN LTD.,</w:t>
      </w:r>
    </w:p>
    <w:p>
      <w:pPr>
        <w:pStyle w:val="Normal"/>
        <w:spacing w:before="0" w:after="480"/>
        <w:jc w:val="center"/>
        <w:rPr>
          <w:rFonts w:ascii="Times New Roman" w:hAnsi="Times New Roman" w:cs="Times New Roman"/>
          <w:b/>
        </w:rPr>
      </w:pPr>
      <w:r>
        <w:rPr>
          <w:rFonts w:cs="Times New Roman" w:ascii="Times New Roman" w:hAnsi="Times New Roman"/>
          <w:b/>
        </w:rPr>
        <w:t>as Seller,</w:t>
      </w:r>
    </w:p>
    <w:p>
      <w:pPr>
        <w:pStyle w:val="Normal"/>
        <w:spacing w:before="0" w:after="480"/>
        <w:jc w:val="center"/>
        <w:rPr>
          <w:rFonts w:ascii="Times New Roman" w:hAnsi="Times New Roman" w:cs="Times New Roman"/>
          <w:b/>
        </w:rPr>
      </w:pPr>
      <w:r>
        <w:rPr>
          <w:rFonts w:cs="Times New Roman" w:ascii="Times New Roman" w:hAnsi="Times New Roman"/>
          <w:b/>
        </w:rPr>
        <w:t>and</w:t>
      </w:r>
    </w:p>
    <w:p>
      <w:pPr>
        <w:pStyle w:val="Normal"/>
        <w:spacing w:before="0" w:after="360"/>
        <w:jc w:val="center"/>
        <w:rPr>
          <w:rFonts w:ascii="Times New Roman" w:hAnsi="Times New Roman" w:cs="Times New Roman"/>
          <w:b/>
        </w:rPr>
      </w:pPr>
      <w:r>
        <w:rPr>
          <w:rFonts w:cs="Times New Roman" w:ascii="Times New Roman" w:hAnsi="Times New Roman"/>
          <w:b/>
        </w:rPr>
        <w:t>ENRON NORTH AMERICA CORP.,</w:t>
      </w:r>
    </w:p>
    <w:p>
      <w:pPr>
        <w:pStyle w:val="Normal"/>
        <w:spacing w:before="0" w:after="360"/>
        <w:jc w:val="center"/>
        <w:rPr>
          <w:rFonts w:ascii="Times New Roman" w:hAnsi="Times New Roman" w:cs="Times New Roman"/>
          <w:b/>
        </w:rPr>
      </w:pPr>
      <w:r>
        <w:rPr>
          <w:rFonts w:cs="Times New Roman" w:ascii="Times New Roman" w:hAnsi="Times New Roman"/>
          <w:b/>
        </w:rPr>
        <w:t>as Purchaser</w:t>
      </w:r>
    </w:p>
    <w:p>
      <w:pPr>
        <w:pStyle w:val="Normal"/>
        <w:pBdr>
          <w:bottom w:val="single" w:sz="4" w:space="1" w:color="000000"/>
        </w:pBd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TABLE OF CONTENTS</w:t>
      </w:r>
    </w:p>
    <w:p>
      <w:pPr>
        <w:pStyle w:val="Normal"/>
        <w:jc w:val="end"/>
        <w:rPr/>
      </w:pPr>
      <w:r>
        <w:rPr/>
        <w:t>Page</w:t>
      </w:r>
    </w:p>
    <w:sdt>
      <w:sdtPr>
        <w:docPartObj>
          <w:docPartGallery w:val="Table of Contents"/>
          <w:docPartUnique w:val="true"/>
        </w:docPartObj>
      </w:sdtPr>
      <w:sdtContent>
        <w:p>
          <w:pPr>
            <w:pStyle w:val="TOC1"/>
            <w:spacing w:before="120" w:after="0"/>
            <w:jc w:val="center"/>
            <w:rPr>
              <w:lang w:val="en-CA"/>
            </w:rPr>
          </w:pPr>
          <w:r>
            <w:fldChar w:fldCharType="begin"/>
          </w:r>
          <w:r>
            <w:rPr>
              <w:rFonts w:cs="Times New Roman"/>
              <w:lang w:val="en-CA"/>
            </w:rPr>
            <w:instrText xml:space="preserve"> TOC \o </w:instrText>
          </w:r>
          <w:r>
            <w:rPr>
              <w:rFonts w:cs="Times New Roman"/>
              <w:lang w:val="en-CA"/>
            </w:rPr>
            <w:fldChar w:fldCharType="separate"/>
          </w:r>
          <w:r>
            <w:rPr>
              <w:rFonts w:cs="Times New Roman"/>
              <w:lang w:val="en-CA"/>
            </w:rPr>
            <w:t>ARTICLE I INTERPRETATION</w:t>
            <w:tab/>
          </w:r>
          <w:hyperlink w:anchor="__RefHeading___Toc502545023">
            <w:r>
              <w:rPr>
                <w:rStyle w:val="IndexLink"/>
                <w:rFonts w:cs="Times New Roman"/>
                <w:lang w:val="en-CA"/>
              </w:rPr>
              <w:t>1</w:t>
            </w:r>
          </w:hyperlink>
        </w:p>
        <w:p>
          <w:pPr>
            <w:pStyle w:val="TOC2"/>
            <w:tabs>
              <w:tab w:val="clear" w:pos="720"/>
              <w:tab w:val="left" w:pos="1440" w:leader="none"/>
              <w:tab w:val="right" w:pos="9350" w:leader="dot"/>
            </w:tabs>
            <w:rPr>
              <w:lang w:val="en-CA"/>
            </w:rPr>
          </w:pPr>
          <w:r>
            <w:rPr>
              <w:lang w:val="en-CA"/>
            </w:rPr>
            <w:t>1.01</w:t>
            <w:tab/>
          </w:r>
          <w:r>
            <w:rPr>
              <w:u w:val="single"/>
              <w:lang w:val="en-CA"/>
            </w:rPr>
            <w:t>Definitions</w:t>
          </w:r>
          <w:r>
            <w:rPr>
              <w:lang w:val="en-CA"/>
            </w:rPr>
            <w:tab/>
          </w:r>
          <w:hyperlink w:anchor="__RefHeading___Toc502545024">
            <w:r>
              <w:rPr>
                <w:rStyle w:val="IndexLink"/>
                <w:lang w:val="en-CA"/>
              </w:rPr>
              <w:t>1</w:t>
            </w:r>
          </w:hyperlink>
        </w:p>
        <w:p>
          <w:pPr>
            <w:pStyle w:val="TOC2"/>
            <w:tabs>
              <w:tab w:val="clear" w:pos="720"/>
              <w:tab w:val="left" w:pos="1440" w:leader="none"/>
              <w:tab w:val="right" w:pos="9350" w:leader="dot"/>
            </w:tabs>
            <w:rPr>
              <w:lang w:val="en-CA"/>
            </w:rPr>
          </w:pPr>
          <w:r>
            <w:rPr>
              <w:lang w:val="en-CA"/>
            </w:rPr>
            <w:t>1.02</w:t>
            <w:tab/>
          </w:r>
          <w:r>
            <w:rPr>
              <w:u w:val="single"/>
              <w:lang w:val="en-CA"/>
            </w:rPr>
            <w:t>Headings</w:t>
          </w:r>
          <w:r>
            <w:rPr>
              <w:lang w:val="en-CA"/>
            </w:rPr>
            <w:tab/>
          </w:r>
          <w:hyperlink w:anchor="__RefHeading___Toc502545025">
            <w:r>
              <w:rPr>
                <w:rStyle w:val="IndexLink"/>
                <w:lang w:val="en-CA"/>
              </w:rPr>
              <w:t>5</w:t>
            </w:r>
          </w:hyperlink>
        </w:p>
        <w:p>
          <w:pPr>
            <w:pStyle w:val="TOC2"/>
            <w:tabs>
              <w:tab w:val="clear" w:pos="720"/>
              <w:tab w:val="left" w:pos="1440" w:leader="none"/>
              <w:tab w:val="right" w:pos="9350" w:leader="dot"/>
            </w:tabs>
            <w:rPr>
              <w:lang w:val="en-CA"/>
            </w:rPr>
          </w:pPr>
          <w:r>
            <w:rPr>
              <w:lang w:val="en-CA"/>
            </w:rPr>
            <w:t>1.03</w:t>
            <w:tab/>
          </w:r>
          <w:r>
            <w:rPr>
              <w:u w:val="single"/>
              <w:lang w:val="en-CA"/>
            </w:rPr>
            <w:t>Number</w:t>
          </w:r>
          <w:r>
            <w:rPr>
              <w:lang w:val="en-CA"/>
            </w:rPr>
            <w:tab/>
          </w:r>
          <w:hyperlink w:anchor="__RefHeading___Toc502545026">
            <w:r>
              <w:rPr>
                <w:rStyle w:val="IndexLink"/>
                <w:lang w:val="en-CA"/>
              </w:rPr>
              <w:t>5</w:t>
            </w:r>
          </w:hyperlink>
        </w:p>
        <w:p>
          <w:pPr>
            <w:pStyle w:val="TOC2"/>
            <w:tabs>
              <w:tab w:val="clear" w:pos="720"/>
              <w:tab w:val="left" w:pos="1440" w:leader="none"/>
              <w:tab w:val="right" w:pos="9350" w:leader="dot"/>
            </w:tabs>
            <w:rPr>
              <w:lang w:val="en-CA"/>
            </w:rPr>
          </w:pPr>
          <w:r>
            <w:rPr>
              <w:lang w:val="en-CA"/>
            </w:rPr>
            <w:t>1.04</w:t>
            <w:tab/>
          </w:r>
          <w:r>
            <w:rPr>
              <w:u w:val="single"/>
              <w:lang w:val="en-CA"/>
            </w:rPr>
            <w:t>Non-Business Days</w:t>
          </w:r>
          <w:r>
            <w:rPr>
              <w:lang w:val="en-CA"/>
            </w:rPr>
            <w:tab/>
          </w:r>
          <w:hyperlink w:anchor="__RefHeading___Toc502545027">
            <w:r>
              <w:rPr>
                <w:rStyle w:val="IndexLink"/>
                <w:lang w:val="en-CA"/>
              </w:rPr>
              <w:t>5</w:t>
            </w:r>
          </w:hyperlink>
        </w:p>
        <w:p>
          <w:pPr>
            <w:pStyle w:val="TOC1"/>
            <w:rPr>
              <w:lang w:val="en-CA"/>
            </w:rPr>
          </w:pPr>
          <w:r>
            <w:rPr>
              <w:lang w:val="en-CA"/>
            </w:rPr>
            <w:t>ARTICLE II SALE AND PURCHASE OF NATURAL GAS</w:t>
            <w:tab/>
          </w:r>
          <w:hyperlink w:anchor="__RefHeading___Toc502545028">
            <w:r>
              <w:rPr>
                <w:rStyle w:val="IndexLink"/>
                <w:lang w:val="en-CA"/>
              </w:rPr>
              <w:t>6</w:t>
            </w:r>
          </w:hyperlink>
        </w:p>
        <w:p>
          <w:pPr>
            <w:pStyle w:val="TOC2"/>
            <w:tabs>
              <w:tab w:val="clear" w:pos="720"/>
              <w:tab w:val="left" w:pos="1440" w:leader="none"/>
              <w:tab w:val="right" w:pos="9350" w:leader="dot"/>
            </w:tabs>
            <w:rPr>
              <w:lang w:val="en-CA"/>
            </w:rPr>
          </w:pPr>
          <w:r>
            <w:rPr>
              <w:lang w:val="en-CA"/>
            </w:rPr>
            <w:t>2.01</w:t>
            <w:tab/>
          </w:r>
          <w:r>
            <w:rPr>
              <w:u w:val="single"/>
              <w:lang w:val="en-CA"/>
            </w:rPr>
            <w:t>Sale and Purchase of Natural Gas</w:t>
          </w:r>
          <w:r>
            <w:rPr>
              <w:lang w:val="en-CA"/>
            </w:rPr>
            <w:tab/>
          </w:r>
          <w:hyperlink w:anchor="__RefHeading___Toc502545029">
            <w:r>
              <w:rPr>
                <w:rStyle w:val="IndexLink"/>
                <w:lang w:val="en-CA"/>
              </w:rPr>
              <w:t>6</w:t>
            </w:r>
          </w:hyperlink>
        </w:p>
        <w:p>
          <w:pPr>
            <w:pStyle w:val="TOC2"/>
            <w:tabs>
              <w:tab w:val="clear" w:pos="720"/>
              <w:tab w:val="left" w:pos="1440" w:leader="none"/>
              <w:tab w:val="right" w:pos="9350" w:leader="dot"/>
            </w:tabs>
            <w:rPr>
              <w:lang w:val="en-CA"/>
            </w:rPr>
          </w:pPr>
          <w:r>
            <w:rPr>
              <w:lang w:val="en-CA"/>
            </w:rPr>
            <w:t>2.03</w:t>
            <w:tab/>
          </w:r>
          <w:r>
            <w:rPr>
              <w:u w:val="single"/>
              <w:lang w:val="en-CA"/>
            </w:rPr>
            <w:t>Delivery and Receipt of Natural Gas</w:t>
          </w:r>
          <w:r>
            <w:rPr>
              <w:lang w:val="en-CA"/>
            </w:rPr>
            <w:tab/>
          </w:r>
          <w:hyperlink w:anchor="__RefHeading___Toc502545030">
            <w:r>
              <w:rPr>
                <w:rStyle w:val="IndexLink"/>
                <w:lang w:val="en-CA"/>
              </w:rPr>
              <w:t>6</w:t>
            </w:r>
          </w:hyperlink>
        </w:p>
        <w:p>
          <w:pPr>
            <w:pStyle w:val="TOC2"/>
            <w:tabs>
              <w:tab w:val="clear" w:pos="720"/>
              <w:tab w:val="left" w:pos="1440" w:leader="none"/>
              <w:tab w:val="right" w:pos="9350" w:leader="dot"/>
            </w:tabs>
            <w:rPr>
              <w:lang w:val="en-CA"/>
            </w:rPr>
          </w:pPr>
          <w:r>
            <w:rPr>
              <w:lang w:val="en-CA"/>
            </w:rPr>
            <w:t>2.04</w:t>
            <w:tab/>
          </w:r>
          <w:r>
            <w:rPr>
              <w:u w:val="single"/>
              <w:lang w:val="en-CA"/>
            </w:rPr>
            <w:t>Payment of Fees</w:t>
          </w:r>
          <w:r>
            <w:rPr>
              <w:lang w:val="en-CA"/>
            </w:rPr>
            <w:tab/>
          </w:r>
          <w:hyperlink w:anchor="__RefHeading___Toc502545031">
            <w:r>
              <w:rPr>
                <w:rStyle w:val="IndexLink"/>
                <w:lang w:val="en-CA"/>
              </w:rPr>
              <w:t>6</w:t>
            </w:r>
          </w:hyperlink>
        </w:p>
        <w:p>
          <w:pPr>
            <w:pStyle w:val="TOC2"/>
            <w:tabs>
              <w:tab w:val="clear" w:pos="720"/>
              <w:tab w:val="left" w:pos="1440" w:leader="none"/>
              <w:tab w:val="right" w:pos="9350" w:leader="dot"/>
            </w:tabs>
            <w:rPr>
              <w:lang w:val="en-CA"/>
            </w:rPr>
          </w:pPr>
          <w:r>
            <w:rPr>
              <w:lang w:val="en-CA"/>
            </w:rPr>
            <w:t>2.05</w:t>
            <w:tab/>
          </w:r>
          <w:r>
            <w:rPr>
              <w:u w:val="single"/>
              <w:lang w:val="en-CA"/>
            </w:rPr>
            <w:t>Default Delivery Points</w:t>
          </w:r>
          <w:r>
            <w:rPr>
              <w:lang w:val="en-CA"/>
            </w:rPr>
            <w:tab/>
          </w:r>
          <w:hyperlink w:anchor="__RefHeading___Toc502545032">
            <w:r>
              <w:rPr>
                <w:rStyle w:val="IndexLink"/>
                <w:lang w:val="en-CA"/>
              </w:rPr>
              <w:t>7</w:t>
            </w:r>
          </w:hyperlink>
        </w:p>
        <w:p>
          <w:pPr>
            <w:pStyle w:val="TOC2"/>
            <w:tabs>
              <w:tab w:val="clear" w:pos="720"/>
              <w:tab w:val="left" w:pos="1440" w:leader="none"/>
              <w:tab w:val="right" w:pos="9350" w:leader="dot"/>
            </w:tabs>
            <w:rPr>
              <w:lang w:val="en-CA"/>
            </w:rPr>
          </w:pPr>
          <w:r>
            <w:rPr>
              <w:lang w:val="en-CA"/>
            </w:rPr>
            <w:t>2.06</w:t>
            <w:tab/>
          </w:r>
          <w:r>
            <w:rPr>
              <w:u w:val="single"/>
              <w:lang w:val="en-CA"/>
            </w:rPr>
            <w:t>Transportation and Balancing</w:t>
          </w:r>
          <w:r>
            <w:rPr>
              <w:lang w:val="en-CA"/>
            </w:rPr>
            <w:tab/>
          </w:r>
          <w:hyperlink w:anchor="__RefHeading___Toc502545033">
            <w:r>
              <w:rPr>
                <w:rStyle w:val="IndexLink"/>
                <w:lang w:val="en-CA"/>
              </w:rPr>
              <w:t>7</w:t>
            </w:r>
          </w:hyperlink>
        </w:p>
        <w:p>
          <w:pPr>
            <w:pStyle w:val="TOC2"/>
            <w:tabs>
              <w:tab w:val="clear" w:pos="720"/>
              <w:tab w:val="left" w:pos="1440" w:leader="none"/>
              <w:tab w:val="right" w:pos="9350" w:leader="dot"/>
            </w:tabs>
            <w:rPr>
              <w:lang w:val="en-CA"/>
            </w:rPr>
          </w:pPr>
          <w:r>
            <w:rPr>
              <w:lang w:val="en-CA"/>
            </w:rPr>
            <w:t>2.07</w:t>
            <w:tab/>
          </w:r>
          <w:r>
            <w:rPr>
              <w:u w:val="single"/>
              <w:lang w:val="en-CA"/>
            </w:rPr>
            <w:t>Exclusive Remedy</w:t>
          </w:r>
          <w:r>
            <w:rPr>
              <w:lang w:val="en-CA"/>
            </w:rPr>
            <w:tab/>
          </w:r>
          <w:hyperlink w:anchor="__RefHeading___Toc502545034">
            <w:r>
              <w:rPr>
                <w:rStyle w:val="IndexLink"/>
                <w:lang w:val="en-CA"/>
              </w:rPr>
              <w:t>8</w:t>
            </w:r>
          </w:hyperlink>
        </w:p>
        <w:p>
          <w:pPr>
            <w:pStyle w:val="TOC2"/>
            <w:tabs>
              <w:tab w:val="clear" w:pos="720"/>
              <w:tab w:val="left" w:pos="1440" w:leader="none"/>
              <w:tab w:val="right" w:pos="9350" w:leader="dot"/>
            </w:tabs>
            <w:rPr>
              <w:lang w:val="en-CA"/>
            </w:rPr>
          </w:pPr>
          <w:r>
            <w:rPr>
              <w:lang w:val="en-CA"/>
            </w:rPr>
            <w:t>2.08</w:t>
            <w:tab/>
          </w:r>
          <w:r>
            <w:rPr>
              <w:u w:val="single"/>
              <w:lang w:val="en-CA"/>
            </w:rPr>
            <w:t>Possession, Title and Risk</w:t>
          </w:r>
          <w:r>
            <w:rPr>
              <w:lang w:val="en-CA"/>
            </w:rPr>
            <w:tab/>
          </w:r>
          <w:hyperlink w:anchor="__RefHeading___Toc502545035">
            <w:r>
              <w:rPr>
                <w:rStyle w:val="IndexLink"/>
                <w:lang w:val="en-CA"/>
              </w:rPr>
              <w:t>8</w:t>
            </w:r>
          </w:hyperlink>
        </w:p>
        <w:p>
          <w:pPr>
            <w:pStyle w:val="TOC2"/>
            <w:tabs>
              <w:tab w:val="clear" w:pos="720"/>
              <w:tab w:val="left" w:pos="1440" w:leader="none"/>
              <w:tab w:val="right" w:pos="9350" w:leader="dot"/>
            </w:tabs>
            <w:rPr>
              <w:lang w:val="en-CA"/>
            </w:rPr>
          </w:pPr>
          <w:r>
            <w:rPr>
              <w:lang w:val="en-CA"/>
            </w:rPr>
            <w:t>2.09</w:t>
            <w:tab/>
          </w:r>
          <w:r>
            <w:rPr>
              <w:u w:val="single"/>
              <w:lang w:val="en-CA"/>
            </w:rPr>
            <w:t>Royalties</w:t>
          </w:r>
          <w:r>
            <w:rPr>
              <w:lang w:val="en-CA"/>
            </w:rPr>
            <w:tab/>
          </w:r>
          <w:hyperlink w:anchor="__RefHeading___Toc502545036">
            <w:r>
              <w:rPr>
                <w:rStyle w:val="IndexLink"/>
                <w:lang w:val="en-CA"/>
              </w:rPr>
              <w:t>8</w:t>
            </w:r>
          </w:hyperlink>
        </w:p>
        <w:p>
          <w:pPr>
            <w:pStyle w:val="TOC2"/>
            <w:tabs>
              <w:tab w:val="clear" w:pos="720"/>
              <w:tab w:val="left" w:pos="1440" w:leader="none"/>
              <w:tab w:val="right" w:pos="9350" w:leader="dot"/>
            </w:tabs>
            <w:rPr>
              <w:lang w:val="en-CA"/>
            </w:rPr>
          </w:pPr>
          <w:r>
            <w:rPr>
              <w:lang w:val="en-CA"/>
            </w:rPr>
            <w:t>2.10</w:t>
            <w:tab/>
          </w:r>
          <w:r>
            <w:rPr>
              <w:u w:val="single"/>
              <w:lang w:val="en-CA"/>
            </w:rPr>
            <w:t>Taxes</w:t>
          </w:r>
          <w:r>
            <w:rPr>
              <w:lang w:val="en-CA"/>
            </w:rPr>
            <w:tab/>
          </w:r>
          <w:hyperlink w:anchor="__RefHeading___Toc502545037">
            <w:r>
              <w:rPr>
                <w:rStyle w:val="IndexLink"/>
                <w:lang w:val="en-CA"/>
              </w:rPr>
              <w:t>8</w:t>
            </w:r>
          </w:hyperlink>
        </w:p>
        <w:p>
          <w:pPr>
            <w:pStyle w:val="TOC2"/>
            <w:tabs>
              <w:tab w:val="clear" w:pos="720"/>
              <w:tab w:val="left" w:pos="1440" w:leader="none"/>
              <w:tab w:val="right" w:pos="9350" w:leader="dot"/>
            </w:tabs>
            <w:rPr>
              <w:lang w:val="en-CA"/>
            </w:rPr>
          </w:pPr>
          <w:r>
            <w:rPr>
              <w:lang w:val="en-CA"/>
            </w:rPr>
            <w:t>2.11</w:t>
            <w:tab/>
          </w:r>
          <w:r>
            <w:rPr>
              <w:u w:val="single"/>
              <w:lang w:val="en-CA"/>
            </w:rPr>
            <w:t>No Warranty</w:t>
          </w:r>
          <w:r>
            <w:rPr>
              <w:lang w:val="en-CA"/>
            </w:rPr>
            <w:tab/>
          </w:r>
          <w:hyperlink w:anchor="__RefHeading___Toc502545038">
            <w:r>
              <w:rPr>
                <w:rStyle w:val="IndexLink"/>
                <w:lang w:val="en-CA"/>
              </w:rPr>
              <w:t>9</w:t>
            </w:r>
          </w:hyperlink>
        </w:p>
        <w:p>
          <w:pPr>
            <w:pStyle w:val="TOC1"/>
            <w:rPr>
              <w:lang w:val="en-CA"/>
            </w:rPr>
          </w:pPr>
          <w:r>
            <w:rPr>
              <w:lang w:val="en-CA"/>
            </w:rPr>
            <w:t>ARTICLE III REPRESENTATIONS AND WARRANTEES</w:t>
            <w:tab/>
          </w:r>
          <w:hyperlink w:anchor="__RefHeading___Toc502545039">
            <w:r>
              <w:rPr>
                <w:rStyle w:val="IndexLink"/>
                <w:lang w:val="en-CA"/>
              </w:rPr>
              <w:t>9</w:t>
            </w:r>
          </w:hyperlink>
        </w:p>
        <w:p>
          <w:pPr>
            <w:pStyle w:val="TOC2"/>
            <w:tabs>
              <w:tab w:val="clear" w:pos="720"/>
              <w:tab w:val="left" w:pos="1440" w:leader="none"/>
              <w:tab w:val="right" w:pos="9350" w:leader="dot"/>
            </w:tabs>
            <w:rPr>
              <w:lang w:val="en-CA"/>
            </w:rPr>
          </w:pPr>
          <w:r>
            <w:rPr>
              <w:lang w:val="en-CA"/>
            </w:rPr>
            <w:t>3.01</w:t>
            <w:tab/>
          </w:r>
          <w:r>
            <w:rPr>
              <w:u w:val="single"/>
              <w:lang w:val="en-CA"/>
            </w:rPr>
            <w:t>Representations and Warranties of Seller</w:t>
          </w:r>
          <w:r>
            <w:rPr>
              <w:lang w:val="en-CA"/>
            </w:rPr>
            <w:tab/>
          </w:r>
          <w:hyperlink w:anchor="__RefHeading___Toc502545040">
            <w:r>
              <w:rPr>
                <w:rStyle w:val="IndexLink"/>
                <w:lang w:val="en-CA"/>
              </w:rPr>
              <w:t>9</w:t>
            </w:r>
          </w:hyperlink>
        </w:p>
        <w:p>
          <w:pPr>
            <w:pStyle w:val="TOC2"/>
            <w:tabs>
              <w:tab w:val="clear" w:pos="720"/>
              <w:tab w:val="left" w:pos="1440" w:leader="none"/>
              <w:tab w:val="right" w:pos="9350" w:leader="dot"/>
            </w:tabs>
            <w:rPr>
              <w:lang w:val="en-CA"/>
            </w:rPr>
          </w:pPr>
          <w:r>
            <w:rPr>
              <w:lang w:val="en-CA"/>
            </w:rPr>
            <w:t>3.02</w:t>
            <w:tab/>
          </w:r>
          <w:r>
            <w:rPr>
              <w:u w:val="single"/>
              <w:lang w:val="en-CA"/>
            </w:rPr>
            <w:t>Representations and Warranties of Purchaser</w:t>
          </w:r>
          <w:r>
            <w:rPr>
              <w:lang w:val="en-CA"/>
            </w:rPr>
            <w:tab/>
          </w:r>
          <w:hyperlink w:anchor="__RefHeading___Toc502545041">
            <w:r>
              <w:rPr>
                <w:rStyle w:val="IndexLink"/>
                <w:lang w:val="en-CA"/>
              </w:rPr>
              <w:t>10</w:t>
            </w:r>
          </w:hyperlink>
        </w:p>
        <w:p>
          <w:pPr>
            <w:pStyle w:val="TOC1"/>
            <w:rPr>
              <w:lang w:val="en-CA"/>
            </w:rPr>
          </w:pPr>
          <w:r>
            <w:rPr>
              <w:lang w:val="en-CA"/>
            </w:rPr>
            <w:t>ARTICLE IV COVENANTS</w:t>
            <w:tab/>
          </w:r>
          <w:hyperlink w:anchor="__RefHeading___Toc502545042">
            <w:r>
              <w:rPr>
                <w:rStyle w:val="IndexLink"/>
                <w:lang w:val="en-CA"/>
              </w:rPr>
              <w:t>11</w:t>
            </w:r>
          </w:hyperlink>
        </w:p>
        <w:p>
          <w:pPr>
            <w:pStyle w:val="TOC2"/>
            <w:tabs>
              <w:tab w:val="clear" w:pos="720"/>
              <w:tab w:val="left" w:pos="1440" w:leader="none"/>
              <w:tab w:val="right" w:pos="9350" w:leader="dot"/>
            </w:tabs>
            <w:rPr>
              <w:lang w:val="en-CA"/>
            </w:rPr>
          </w:pPr>
          <w:r>
            <w:rPr>
              <w:lang w:val="en-CA"/>
            </w:rPr>
            <w:t>4.01</w:t>
            <w:tab/>
          </w:r>
          <w:r>
            <w:rPr>
              <w:u w:val="single"/>
              <w:lang w:val="en-CA"/>
            </w:rPr>
            <w:t>Affirmative Covenants of Seller</w:t>
          </w:r>
          <w:r>
            <w:rPr>
              <w:lang w:val="en-CA"/>
            </w:rPr>
            <w:tab/>
          </w:r>
          <w:hyperlink w:anchor="__RefHeading___Toc502545043">
            <w:r>
              <w:rPr>
                <w:rStyle w:val="IndexLink"/>
                <w:lang w:val="en-CA"/>
              </w:rPr>
              <w:t>11</w:t>
            </w:r>
          </w:hyperlink>
        </w:p>
        <w:p>
          <w:pPr>
            <w:pStyle w:val="TOC1"/>
            <w:rPr>
              <w:lang w:val="en-CA"/>
            </w:rPr>
          </w:pPr>
          <w:r>
            <w:rPr>
              <w:lang w:val="en-CA"/>
            </w:rPr>
            <w:t>ARTICLE V EVENTS OF DEFAULT AND EARLY TERMINATION</w:t>
            <w:tab/>
          </w:r>
          <w:hyperlink w:anchor="__RefHeading___Toc502545044">
            <w:r>
              <w:rPr>
                <w:rStyle w:val="IndexLink"/>
                <w:lang w:val="en-CA"/>
              </w:rPr>
              <w:t>11</w:t>
            </w:r>
          </w:hyperlink>
        </w:p>
        <w:p>
          <w:pPr>
            <w:pStyle w:val="TOC2"/>
            <w:tabs>
              <w:tab w:val="clear" w:pos="720"/>
              <w:tab w:val="left" w:pos="1440" w:leader="none"/>
              <w:tab w:val="right" w:pos="9350" w:leader="dot"/>
            </w:tabs>
            <w:rPr>
              <w:lang w:val="en-CA"/>
            </w:rPr>
          </w:pPr>
          <w:r>
            <w:rPr>
              <w:lang w:val="en-CA"/>
            </w:rPr>
            <w:t>5.01</w:t>
            <w:tab/>
          </w:r>
          <w:r>
            <w:rPr>
              <w:u w:val="single"/>
              <w:lang w:val="en-CA"/>
            </w:rPr>
            <w:t xml:space="preserve">Events of Default </w:t>
          </w:r>
          <w:r>
            <w:rPr>
              <w:lang w:val="en-CA"/>
            </w:rPr>
            <w:tab/>
          </w:r>
          <w:hyperlink w:anchor="__RefHeading___Toc502545045">
            <w:r>
              <w:rPr>
                <w:rStyle w:val="IndexLink"/>
                <w:b/>
                <w:lang w:val="en-CA"/>
              </w:rPr>
              <w:t>Error! Bookmark not defined.</w:t>
            </w:r>
          </w:hyperlink>
        </w:p>
        <w:p>
          <w:pPr>
            <w:pStyle w:val="TOC2"/>
            <w:tabs>
              <w:tab w:val="clear" w:pos="720"/>
              <w:tab w:val="left" w:pos="1440" w:leader="none"/>
              <w:tab w:val="right" w:pos="9350" w:leader="dot"/>
            </w:tabs>
            <w:rPr>
              <w:lang w:val="en-CA"/>
            </w:rPr>
          </w:pPr>
          <w:r>
            <w:rPr>
              <w:lang w:val="en-CA"/>
            </w:rPr>
            <w:t>5.02</w:t>
            <w:tab/>
          </w:r>
          <w:r>
            <w:rPr>
              <w:u w:val="single"/>
              <w:lang w:val="en-CA"/>
            </w:rPr>
            <w:t>Calculation of Termination Payment</w:t>
          </w:r>
          <w:r>
            <w:rPr>
              <w:lang w:val="en-CA"/>
            </w:rPr>
            <w:tab/>
          </w:r>
          <w:hyperlink w:anchor="__RefHeading___Toc502545046">
            <w:r>
              <w:rPr>
                <w:rStyle w:val="IndexLink"/>
                <w:lang w:val="en-CA"/>
              </w:rPr>
              <w:t>11</w:t>
            </w:r>
          </w:hyperlink>
        </w:p>
        <w:p>
          <w:pPr>
            <w:pStyle w:val="TOC2"/>
            <w:tabs>
              <w:tab w:val="clear" w:pos="720"/>
              <w:tab w:val="left" w:pos="1440" w:leader="none"/>
              <w:tab w:val="right" w:pos="9350" w:leader="dot"/>
            </w:tabs>
            <w:rPr>
              <w:lang w:val="en-CA"/>
            </w:rPr>
          </w:pPr>
          <w:r>
            <w:rPr>
              <w:lang w:val="en-CA"/>
            </w:rPr>
            <w:t>5.03</w:t>
            <w:tab/>
          </w:r>
          <w:r>
            <w:rPr>
              <w:u w:val="single"/>
              <w:lang w:val="en-CA"/>
            </w:rPr>
            <w:t>Purchaser’s Failure to Accept Delivery</w:t>
          </w:r>
          <w:r>
            <w:rPr>
              <w:lang w:val="en-CA"/>
            </w:rPr>
            <w:tab/>
          </w:r>
          <w:hyperlink w:anchor="__RefHeading___Toc502545047">
            <w:r>
              <w:rPr>
                <w:rStyle w:val="IndexLink"/>
                <w:lang w:val="en-CA"/>
              </w:rPr>
              <w:t>13</w:t>
            </w:r>
          </w:hyperlink>
        </w:p>
        <w:p>
          <w:pPr>
            <w:pStyle w:val="TOC1"/>
            <w:rPr>
              <w:lang w:val="en-CA"/>
            </w:rPr>
          </w:pPr>
          <w:r>
            <w:rPr>
              <w:lang w:val="en-CA"/>
            </w:rPr>
            <w:t>ARTICLE VI EVENTS OF CHANGE AND ACCELERATED TERMINATION</w:t>
            <w:tab/>
          </w:r>
          <w:hyperlink w:anchor="__RefHeading___Toc502545048">
            <w:r>
              <w:rPr>
                <w:rStyle w:val="IndexLink"/>
                <w:lang w:val="en-CA"/>
              </w:rPr>
              <w:t>14</w:t>
            </w:r>
          </w:hyperlink>
        </w:p>
        <w:p>
          <w:pPr>
            <w:pStyle w:val="TOC2"/>
            <w:tabs>
              <w:tab w:val="clear" w:pos="720"/>
              <w:tab w:val="left" w:pos="1440" w:leader="none"/>
              <w:tab w:val="right" w:pos="9350" w:leader="dot"/>
            </w:tabs>
            <w:rPr>
              <w:lang w:val="en-CA"/>
            </w:rPr>
          </w:pPr>
          <w:r>
            <w:rPr>
              <w:lang w:val="en-CA"/>
            </w:rPr>
            <w:t>6.01</w:t>
            <w:tab/>
          </w:r>
          <w:r>
            <w:rPr>
              <w:u w:val="single"/>
              <w:lang w:val="en-CA"/>
            </w:rPr>
            <w:t>Events of Change</w:t>
          </w:r>
          <w:r>
            <w:rPr>
              <w:lang w:val="en-CA"/>
            </w:rPr>
            <w:tab/>
          </w:r>
          <w:hyperlink w:anchor="__RefHeading___Toc502545049">
            <w:r>
              <w:rPr>
                <w:rStyle w:val="IndexLink"/>
                <w:lang w:val="en-CA"/>
              </w:rPr>
              <w:t>14</w:t>
            </w:r>
          </w:hyperlink>
        </w:p>
        <w:p>
          <w:pPr>
            <w:pStyle w:val="TOC2"/>
            <w:tabs>
              <w:tab w:val="clear" w:pos="720"/>
              <w:tab w:val="left" w:pos="1440" w:leader="none"/>
              <w:tab w:val="right" w:pos="9350" w:leader="dot"/>
            </w:tabs>
            <w:rPr>
              <w:lang w:val="en-CA"/>
            </w:rPr>
          </w:pPr>
          <w:r>
            <w:rPr>
              <w:lang w:val="en-CA"/>
            </w:rPr>
            <w:t>6.02</w:t>
            <w:tab/>
          </w:r>
          <w:r>
            <w:rPr>
              <w:u w:val="single"/>
              <w:lang w:val="en-CA"/>
            </w:rPr>
            <w:t>Accelerated Termination</w:t>
          </w:r>
          <w:r>
            <w:rPr>
              <w:lang w:val="en-CA"/>
            </w:rPr>
            <w:tab/>
          </w:r>
          <w:hyperlink w:anchor="__RefHeading___Toc502545050">
            <w:r>
              <w:rPr>
                <w:rStyle w:val="IndexLink"/>
                <w:b/>
                <w:lang w:val="en-CA"/>
              </w:rPr>
              <w:t>Error! Bookmark not defined.</w:t>
            </w:r>
          </w:hyperlink>
        </w:p>
        <w:p>
          <w:pPr>
            <w:pStyle w:val="Header"/>
            <w:tabs>
              <w:tab w:val="clear" w:pos="4320"/>
              <w:tab w:val="clear" w:pos="8640"/>
            </w:tabs>
            <w:rPr/>
          </w:pPr>
          <w:r>
            <w:rPr/>
            <w:tab/>
            <w:t>6.03</w:t>
            <w:tab/>
          </w:r>
          <w:r>
            <w:rPr>
              <w:rFonts w:cs="Times New Roman" w:ascii="Times New Roman" w:hAnsi="Times New Roman"/>
              <w:u w:val="single"/>
            </w:rPr>
            <w:t>Payments on Accelerated Termination</w:t>
          </w:r>
          <w:r>
            <w:rPr/>
            <w:tab/>
            <w:tab/>
            <w:tab/>
            <w:tab/>
            <w:tab/>
            <w:t xml:space="preserve">    15</w:t>
          </w:r>
        </w:p>
        <w:p>
          <w:pPr>
            <w:pStyle w:val="TOC1"/>
            <w:rPr>
              <w:lang w:val="en-CA"/>
            </w:rPr>
          </w:pPr>
          <w:r>
            <w:rPr>
              <w:lang w:val="en-CA"/>
            </w:rPr>
            <w:t>ARTICLE VII MISCELLANEOUS</w:t>
            <w:tab/>
          </w:r>
          <w:hyperlink w:anchor="__RefHeading___Toc502545051">
            <w:r>
              <w:rPr>
                <w:rStyle w:val="IndexLink"/>
                <w:lang w:val="en-CA"/>
              </w:rPr>
              <w:t>16</w:t>
            </w:r>
          </w:hyperlink>
        </w:p>
        <w:p>
          <w:pPr>
            <w:pStyle w:val="TOC2"/>
            <w:tabs>
              <w:tab w:val="clear" w:pos="720"/>
              <w:tab w:val="left" w:pos="1440" w:leader="none"/>
              <w:tab w:val="right" w:pos="9350" w:leader="dot"/>
            </w:tabs>
            <w:rPr>
              <w:lang w:val="en-CA"/>
            </w:rPr>
          </w:pPr>
          <w:r>
            <w:rPr>
              <w:lang w:val="en-CA"/>
            </w:rPr>
            <w:t>7.01</w:t>
            <w:tab/>
          </w:r>
          <w:r>
            <w:rPr>
              <w:u w:val="single"/>
              <w:lang w:val="en-CA"/>
            </w:rPr>
            <w:t>Notice</w:t>
          </w:r>
          <w:r>
            <w:rPr>
              <w:lang w:val="en-CA"/>
            </w:rPr>
            <w:tab/>
          </w:r>
          <w:hyperlink w:anchor="__RefHeading___Toc502545052">
            <w:r>
              <w:rPr>
                <w:rStyle w:val="IndexLink"/>
                <w:lang w:val="en-CA"/>
              </w:rPr>
              <w:t>16</w:t>
            </w:r>
          </w:hyperlink>
        </w:p>
        <w:p>
          <w:pPr>
            <w:pStyle w:val="TOC2"/>
            <w:tabs>
              <w:tab w:val="clear" w:pos="720"/>
              <w:tab w:val="left" w:pos="1440" w:leader="none"/>
              <w:tab w:val="right" w:pos="9350" w:leader="dot"/>
            </w:tabs>
            <w:rPr>
              <w:lang w:val="en-CA"/>
            </w:rPr>
          </w:pPr>
          <w:r>
            <w:rPr>
              <w:lang w:val="en-CA"/>
            </w:rPr>
            <w:t>7.02</w:t>
            <w:tab/>
          </w:r>
          <w:r>
            <w:rPr>
              <w:u w:val="single"/>
              <w:lang w:val="en-CA"/>
            </w:rPr>
            <w:t>Interest on Overdue Amounts</w:t>
          </w:r>
          <w:r>
            <w:rPr>
              <w:lang w:val="en-CA"/>
            </w:rPr>
            <w:tab/>
          </w:r>
          <w:hyperlink w:anchor="__RefHeading___Toc502545053">
            <w:r>
              <w:rPr>
                <w:rStyle w:val="IndexLink"/>
                <w:lang w:val="en-CA"/>
              </w:rPr>
              <w:t>17</w:t>
            </w:r>
          </w:hyperlink>
        </w:p>
        <w:p>
          <w:pPr>
            <w:pStyle w:val="TOC2"/>
            <w:tabs>
              <w:tab w:val="clear" w:pos="720"/>
              <w:tab w:val="left" w:pos="1440" w:leader="none"/>
              <w:tab w:val="right" w:pos="9350" w:leader="dot"/>
            </w:tabs>
            <w:rPr>
              <w:lang w:val="en-CA"/>
            </w:rPr>
          </w:pPr>
          <w:r>
            <w:rPr>
              <w:lang w:val="en-CA"/>
            </w:rPr>
            <w:t>7.03</w:t>
            <w:tab/>
          </w:r>
          <w:r>
            <w:rPr>
              <w:u w:val="single"/>
              <w:lang w:val="en-CA"/>
            </w:rPr>
            <w:t>Governing Law</w:t>
          </w:r>
          <w:r>
            <w:rPr>
              <w:lang w:val="en-CA"/>
            </w:rPr>
            <w:tab/>
          </w:r>
          <w:hyperlink w:anchor="__RefHeading___Toc502545054">
            <w:r>
              <w:rPr>
                <w:rStyle w:val="IndexLink"/>
                <w:lang w:val="en-CA"/>
              </w:rPr>
              <w:t>18</w:t>
            </w:r>
          </w:hyperlink>
        </w:p>
        <w:p>
          <w:pPr>
            <w:pStyle w:val="TOC2"/>
            <w:tabs>
              <w:tab w:val="clear" w:pos="720"/>
              <w:tab w:val="left" w:pos="1440" w:leader="none"/>
              <w:tab w:val="right" w:pos="9350" w:leader="dot"/>
            </w:tabs>
            <w:rPr>
              <w:lang w:val="en-CA"/>
            </w:rPr>
          </w:pPr>
          <w:r>
            <w:rPr>
              <w:lang w:val="en-CA"/>
            </w:rPr>
            <w:t>7.04</w:t>
            <w:tab/>
          </w:r>
          <w:r>
            <w:rPr>
              <w:u w:val="single"/>
              <w:lang w:val="en-CA"/>
            </w:rPr>
            <w:t>Severability</w:t>
          </w:r>
          <w:r>
            <w:rPr>
              <w:lang w:val="en-CA"/>
            </w:rPr>
            <w:tab/>
          </w:r>
          <w:hyperlink w:anchor="__RefHeading___Toc502545055">
            <w:r>
              <w:rPr>
                <w:rStyle w:val="IndexLink"/>
                <w:lang w:val="en-CA"/>
              </w:rPr>
              <w:t>18</w:t>
            </w:r>
          </w:hyperlink>
        </w:p>
        <w:p>
          <w:pPr>
            <w:pStyle w:val="TOC2"/>
            <w:tabs>
              <w:tab w:val="clear" w:pos="720"/>
              <w:tab w:val="left" w:pos="1440" w:leader="none"/>
              <w:tab w:val="right" w:pos="9350" w:leader="dot"/>
            </w:tabs>
            <w:rPr>
              <w:lang w:val="en-CA"/>
            </w:rPr>
          </w:pPr>
          <w:r>
            <w:rPr>
              <w:lang w:val="en-CA"/>
            </w:rPr>
            <w:t>7.05</w:t>
            <w:tab/>
          </w:r>
          <w:r>
            <w:rPr>
              <w:u w:val="single"/>
              <w:lang w:val="en-CA"/>
            </w:rPr>
            <w:t>Currency</w:t>
          </w:r>
          <w:r>
            <w:rPr>
              <w:lang w:val="en-CA"/>
            </w:rPr>
            <w:tab/>
          </w:r>
          <w:hyperlink w:anchor="__RefHeading___Toc502545056">
            <w:r>
              <w:rPr>
                <w:rStyle w:val="IndexLink"/>
                <w:lang w:val="en-CA"/>
              </w:rPr>
              <w:t>18</w:t>
            </w:r>
          </w:hyperlink>
        </w:p>
        <w:p>
          <w:pPr>
            <w:pStyle w:val="TOC2"/>
            <w:tabs>
              <w:tab w:val="clear" w:pos="720"/>
              <w:tab w:val="left" w:pos="1440" w:leader="none"/>
              <w:tab w:val="right" w:pos="9350" w:leader="dot"/>
            </w:tabs>
            <w:rPr>
              <w:lang w:val="en-CA"/>
            </w:rPr>
          </w:pPr>
          <w:r>
            <w:rPr>
              <w:lang w:val="en-CA"/>
            </w:rPr>
            <w:t>7.06</w:t>
            <w:tab/>
          </w:r>
          <w:r>
            <w:rPr>
              <w:u w:val="single"/>
              <w:lang w:val="en-CA"/>
            </w:rPr>
            <w:t>Purchaser Not an Agent</w:t>
          </w:r>
          <w:r>
            <w:rPr>
              <w:lang w:val="en-CA"/>
            </w:rPr>
            <w:tab/>
          </w:r>
          <w:hyperlink w:anchor="__RefHeading___Toc502545057">
            <w:r>
              <w:rPr>
                <w:rStyle w:val="IndexLink"/>
                <w:lang w:val="en-CA"/>
              </w:rPr>
              <w:t>18</w:t>
            </w:r>
          </w:hyperlink>
        </w:p>
        <w:p>
          <w:pPr>
            <w:pStyle w:val="TOC2"/>
            <w:tabs>
              <w:tab w:val="clear" w:pos="720"/>
              <w:tab w:val="left" w:pos="1440" w:leader="none"/>
              <w:tab w:val="right" w:pos="9350" w:leader="dot"/>
            </w:tabs>
            <w:rPr>
              <w:lang w:val="en-CA"/>
            </w:rPr>
          </w:pPr>
          <w:r>
            <w:rPr>
              <w:lang w:val="en-CA"/>
            </w:rPr>
            <w:t>7.07</w:t>
            <w:tab/>
          </w:r>
          <w:r>
            <w:rPr>
              <w:u w:val="single"/>
              <w:lang w:val="en-CA"/>
            </w:rPr>
            <w:t>Benefit of the Agreement</w:t>
          </w:r>
          <w:r>
            <w:rPr>
              <w:lang w:val="en-CA"/>
            </w:rPr>
            <w:tab/>
          </w:r>
          <w:hyperlink w:anchor="__RefHeading___Toc502545058">
            <w:r>
              <w:rPr>
                <w:rStyle w:val="IndexLink"/>
                <w:lang w:val="en-CA"/>
              </w:rPr>
              <w:t>18</w:t>
            </w:r>
          </w:hyperlink>
        </w:p>
        <w:p>
          <w:pPr>
            <w:pStyle w:val="TOC2"/>
            <w:tabs>
              <w:tab w:val="clear" w:pos="720"/>
              <w:tab w:val="left" w:pos="1440" w:leader="none"/>
              <w:tab w:val="right" w:pos="9350" w:leader="dot"/>
            </w:tabs>
            <w:rPr>
              <w:lang w:val="en-CA"/>
            </w:rPr>
          </w:pPr>
          <w:r>
            <w:rPr>
              <w:lang w:val="en-CA"/>
            </w:rPr>
            <w:t>7.08</w:t>
            <w:tab/>
          </w:r>
          <w:r>
            <w:rPr>
              <w:u w:val="single"/>
              <w:lang w:val="en-CA"/>
            </w:rPr>
            <w:t>Assignment and Transfer</w:t>
          </w:r>
          <w:r>
            <w:rPr>
              <w:lang w:val="en-CA"/>
            </w:rPr>
            <w:tab/>
          </w:r>
          <w:hyperlink w:anchor="__RefHeading___Toc502545059">
            <w:r>
              <w:rPr>
                <w:rStyle w:val="IndexLink"/>
                <w:lang w:val="en-CA"/>
              </w:rPr>
              <w:t>18</w:t>
            </w:r>
          </w:hyperlink>
        </w:p>
        <w:p>
          <w:pPr>
            <w:pStyle w:val="TOC2"/>
            <w:tabs>
              <w:tab w:val="clear" w:pos="720"/>
              <w:tab w:val="left" w:pos="1440" w:leader="none"/>
              <w:tab w:val="right" w:pos="9350" w:leader="dot"/>
            </w:tabs>
            <w:rPr>
              <w:lang w:val="en-CA"/>
            </w:rPr>
          </w:pPr>
          <w:r>
            <w:rPr>
              <w:lang w:val="en-CA"/>
            </w:rPr>
            <w:t>7.09</w:t>
            <w:tab/>
          </w:r>
          <w:r>
            <w:rPr>
              <w:u w:val="single"/>
              <w:lang w:val="en-CA"/>
            </w:rPr>
            <w:t>Entire Agreement</w:t>
          </w:r>
          <w:r>
            <w:rPr>
              <w:lang w:val="en-CA"/>
            </w:rPr>
            <w:tab/>
          </w:r>
          <w:hyperlink w:anchor="__RefHeading___Toc502545060">
            <w:r>
              <w:rPr>
                <w:rStyle w:val="IndexLink"/>
                <w:lang w:val="en-CA"/>
              </w:rPr>
              <w:t>18</w:t>
            </w:r>
          </w:hyperlink>
        </w:p>
        <w:p>
          <w:pPr>
            <w:pStyle w:val="TOC2"/>
            <w:tabs>
              <w:tab w:val="clear" w:pos="720"/>
              <w:tab w:val="left" w:pos="1440" w:leader="none"/>
              <w:tab w:val="right" w:pos="9350" w:leader="dot"/>
            </w:tabs>
            <w:rPr>
              <w:lang w:val="en-CA"/>
            </w:rPr>
          </w:pPr>
          <w:r>
            <w:rPr>
              <w:lang w:val="en-CA"/>
            </w:rPr>
            <w:t>7.10</w:t>
            <w:tab/>
          </w:r>
          <w:r>
            <w:rPr>
              <w:u w:val="single"/>
              <w:lang w:val="en-CA"/>
            </w:rPr>
            <w:t>Amendments</w:t>
          </w:r>
          <w:r>
            <w:rPr>
              <w:lang w:val="en-CA"/>
            </w:rPr>
            <w:tab/>
          </w:r>
          <w:hyperlink w:anchor="__RefHeading___Toc502545061">
            <w:r>
              <w:rPr>
                <w:rStyle w:val="IndexLink"/>
                <w:lang w:val="en-CA"/>
              </w:rPr>
              <w:t>18</w:t>
            </w:r>
          </w:hyperlink>
        </w:p>
        <w:p>
          <w:pPr>
            <w:pStyle w:val="TOC2"/>
            <w:tabs>
              <w:tab w:val="clear" w:pos="720"/>
              <w:tab w:val="left" w:pos="1440" w:leader="none"/>
              <w:tab w:val="right" w:pos="9350" w:leader="dot"/>
            </w:tabs>
            <w:rPr>
              <w:lang w:val="en-CA"/>
            </w:rPr>
          </w:pPr>
          <w:r>
            <w:rPr>
              <w:lang w:val="en-CA"/>
            </w:rPr>
            <w:t>7.11</w:t>
            <w:tab/>
          </w:r>
          <w:r>
            <w:rPr>
              <w:u w:val="single"/>
              <w:lang w:val="en-CA"/>
            </w:rPr>
            <w:t>No Waivers, Remedies</w:t>
          </w:r>
          <w:r>
            <w:rPr>
              <w:lang w:val="en-CA"/>
            </w:rPr>
            <w:tab/>
          </w:r>
          <w:hyperlink w:anchor="__RefHeading___Toc502545062">
            <w:r>
              <w:rPr>
                <w:rStyle w:val="IndexLink"/>
                <w:lang w:val="en-CA"/>
              </w:rPr>
              <w:t>18</w:t>
            </w:r>
          </w:hyperlink>
        </w:p>
        <w:p>
          <w:pPr>
            <w:pStyle w:val="TOC2"/>
            <w:tabs>
              <w:tab w:val="clear" w:pos="720"/>
              <w:tab w:val="left" w:pos="1440" w:leader="none"/>
              <w:tab w:val="right" w:pos="9350" w:leader="dot"/>
            </w:tabs>
            <w:rPr>
              <w:lang w:val="en-CA"/>
            </w:rPr>
          </w:pPr>
          <w:r>
            <w:rPr>
              <w:lang w:val="en-CA"/>
            </w:rPr>
            <w:t>7.12</w:t>
            <w:tab/>
          </w:r>
          <w:r>
            <w:rPr>
              <w:u w:val="single"/>
              <w:lang w:val="en-CA"/>
            </w:rPr>
            <w:t>Time of the Essence</w:t>
          </w:r>
          <w:r>
            <w:rPr>
              <w:lang w:val="en-CA"/>
            </w:rPr>
            <w:tab/>
          </w:r>
          <w:hyperlink w:anchor="__RefHeading___Toc502545063">
            <w:r>
              <w:rPr>
                <w:rStyle w:val="IndexLink"/>
                <w:lang w:val="en-CA"/>
              </w:rPr>
              <w:t>18</w:t>
            </w:r>
          </w:hyperlink>
        </w:p>
        <w:p>
          <w:pPr>
            <w:pStyle w:val="TOC2"/>
            <w:tabs>
              <w:tab w:val="clear" w:pos="720"/>
              <w:tab w:val="left" w:pos="1440" w:leader="none"/>
              <w:tab w:val="right" w:pos="9350" w:leader="dot"/>
            </w:tabs>
            <w:rPr>
              <w:lang w:val="en-CA"/>
            </w:rPr>
          </w:pPr>
          <w:r>
            <w:rPr>
              <w:lang w:val="en-CA"/>
            </w:rPr>
            <w:t>7.13</w:t>
            <w:tab/>
          </w:r>
          <w:r>
            <w:rPr>
              <w:u w:val="single"/>
              <w:lang w:val="en-CA"/>
            </w:rPr>
            <w:t>Counterparts</w:t>
          </w:r>
          <w:r>
            <w:rPr>
              <w:lang w:val="en-CA"/>
            </w:rPr>
            <w:tab/>
          </w:r>
          <w:hyperlink w:anchor="__RefHeading___Toc502545064">
            <w:r>
              <w:rPr>
                <w:rStyle w:val="IndexLink"/>
                <w:lang w:val="en-CA"/>
              </w:rPr>
              <w:t>19</w:t>
            </w:r>
          </w:hyperlink>
        </w:p>
        <w:p>
          <w:pPr>
            <w:pStyle w:val="TOC2"/>
            <w:tabs>
              <w:tab w:val="clear" w:pos="720"/>
              <w:tab w:val="left" w:pos="1440" w:leader="none"/>
              <w:tab w:val="right" w:pos="9350" w:leader="dot"/>
            </w:tabs>
            <w:rPr>
              <w:lang w:val="en-CA"/>
            </w:rPr>
          </w:pPr>
          <w:r>
            <w:rPr>
              <w:lang w:val="en-CA"/>
            </w:rPr>
            <w:t>7.14</w:t>
            <w:tab/>
          </w:r>
          <w:r>
            <w:rPr>
              <w:u w:val="single"/>
              <w:lang w:val="en-CA"/>
            </w:rPr>
            <w:t>Intent</w:t>
          </w:r>
          <w:r>
            <w:rPr>
              <w:lang w:val="en-CA"/>
            </w:rPr>
            <w:tab/>
          </w:r>
          <w:hyperlink w:anchor="__RefHeading___Toc502545065">
            <w:r>
              <w:rPr>
                <w:rStyle w:val="IndexLink"/>
                <w:lang w:val="en-CA"/>
              </w:rPr>
              <w:t>19</w:t>
            </w:r>
          </w:hyperlink>
          <w:r>
            <w:rPr>
              <w:rStyle w:val="IndexLink"/>
              <w:lang w:val="en-CA"/>
            </w:rPr>
            <w:fldChar w:fldCharType="end"/>
          </w:r>
        </w:p>
      </w:sdtContent>
    </w:sdt>
    <w:p>
      <w:pPr>
        <w:pStyle w:val="Normal"/>
        <w:rPr>
          <w:rFonts w:ascii="Times New Roman" w:hAnsi="Times New Roman" w:cs="Times New Roman"/>
          <w:lang w:val="en-CA"/>
        </w:rPr>
      </w:pPr>
      <w:r>
        <w:rPr>
          <w:rFonts w:cs="Times New Roman" w:ascii="Times New Roman" w:hAnsi="Times New Roman"/>
          <w:lang w:val="en-CA"/>
        </w:rPr>
      </w:r>
    </w:p>
    <w:p>
      <w:pPr>
        <w:pStyle w:val="Normal"/>
        <w:rPr>
          <w:rFonts w:ascii="Times New Roman" w:hAnsi="Times New Roman" w:cs="Times New Roman"/>
        </w:rPr>
      </w:pPr>
      <w:r>
        <w:rPr>
          <w:rFonts w:cs="Times New Roman" w:ascii="Times New Roman" w:hAnsi="Times New Roman"/>
        </w:rPr>
        <w:t>EXHIBIT A – Delivery Points/Required Delivery Quantity Schedule</w:t>
      </w:r>
    </w:p>
    <w:p>
      <w:pPr>
        <w:sectPr>
          <w:headerReference w:type="default" r:id="rId3"/>
          <w:footerReference w:type="default" r:id="rId4"/>
          <w:footerReference w:type="first" r:id="rId5"/>
          <w:type w:val="nextPage"/>
          <w:pgSz w:w="12240" w:h="15840"/>
          <w:pgMar w:left="1440" w:right="1440" w:gutter="0" w:header="1440" w:top="1496" w:footer="720" w:bottom="1440"/>
          <w:pgNumType w:start="1" w:fmt="lowerRoman"/>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t>EXHIBIT B – Contract Price Schedule</w:t>
      </w:r>
    </w:p>
    <w:p>
      <w:pPr>
        <w:pStyle w:val="Normal"/>
        <w:spacing w:before="0" w:after="240"/>
        <w:jc w:val="center"/>
        <w:rPr>
          <w:rFonts w:ascii="Times New Roman" w:hAnsi="Times New Roman" w:cs="Times New Roman"/>
          <w:b/>
        </w:rPr>
      </w:pPr>
      <w:r>
        <w:rPr>
          <w:rFonts w:cs="Times New Roman" w:ascii="Times New Roman" w:hAnsi="Times New Roman"/>
          <w:b/>
        </w:rPr>
        <w:t>NATURAL GAS FORWARD SALE AGREEMENT</w:t>
      </w:r>
    </w:p>
    <w:p>
      <w:pPr>
        <w:pStyle w:val="Normal"/>
        <w:spacing w:before="0" w:after="240"/>
        <w:ind w:firstLine="720" w:end="0"/>
        <w:rPr/>
      </w:pPr>
      <w:r>
        <w:rPr>
          <w:rFonts w:cs="Times New Roman" w:ascii="Times New Roman" w:hAnsi="Times New Roman"/>
        </w:rPr>
        <w:t>This NATURAL GAS FORWARD SALE AGREEMENT (this “</w:t>
      </w:r>
      <w:r>
        <w:rPr>
          <w:rFonts w:cs="Times New Roman" w:ascii="Times New Roman" w:hAnsi="Times New Roman"/>
          <w:u w:val="single"/>
        </w:rPr>
        <w:t>Agreement</w:t>
      </w:r>
      <w:r>
        <w:rPr>
          <w:rFonts w:cs="Times New Roman" w:ascii="Times New Roman" w:hAnsi="Times New Roman"/>
        </w:rPr>
        <w:t>”) is entered into as of December 28, 2000, by and between STONEVILLE AEGEAN LTD., a Jersey, Channel Islands corporation (the “</w:t>
      </w:r>
      <w:r>
        <w:rPr>
          <w:rFonts w:cs="Times New Roman" w:ascii="Times New Roman" w:hAnsi="Times New Roman"/>
          <w:u w:val="single"/>
        </w:rPr>
        <w:t>Seller</w:t>
      </w:r>
      <w:r>
        <w:rPr>
          <w:rFonts w:cs="Times New Roman" w:ascii="Times New Roman" w:hAnsi="Times New Roman"/>
        </w:rPr>
        <w:t>”) and ENRON NORTH AMERICA CORP., a Delaware corporation (the “</w:t>
      </w:r>
      <w:r>
        <w:rPr>
          <w:rFonts w:cs="Times New Roman" w:ascii="Times New Roman" w:hAnsi="Times New Roman"/>
          <w:u w:val="single"/>
        </w:rPr>
        <w:t>Purchaser</w:t>
      </w:r>
      <w:r>
        <w:rPr>
          <w:rFonts w:cs="Times New Roman" w:ascii="Times New Roman" w:hAnsi="Times New Roman"/>
        </w:rPr>
        <w:t>”).</w:t>
      </w:r>
    </w:p>
    <w:p>
      <w:pPr>
        <w:pStyle w:val="Normal"/>
        <w:spacing w:before="0" w:after="240"/>
        <w:ind w:firstLine="720" w:end="0"/>
        <w:rPr>
          <w:rFonts w:ascii="Times New Roman" w:hAnsi="Times New Roman" w:cs="Times New Roman"/>
        </w:rPr>
      </w:pPr>
      <w:r>
        <w:rPr>
          <w:rFonts w:cs="Times New Roman" w:ascii="Times New Roman" w:hAnsi="Times New Roman"/>
        </w:rPr>
        <w:t>WHEREAS, Seller desires to sell and Purchaser desires to purchase certain quantities of Natural Gas on the terms and conditions set forth herein;</w:t>
      </w:r>
    </w:p>
    <w:p>
      <w:pPr>
        <w:pStyle w:val="Normal"/>
        <w:spacing w:before="0" w:after="240"/>
        <w:ind w:firstLine="720" w:end="0"/>
        <w:rPr>
          <w:rFonts w:ascii="Times New Roman" w:hAnsi="Times New Roman" w:cs="Times New Roman"/>
        </w:rPr>
      </w:pPr>
      <w:r>
        <w:rPr>
          <w:rFonts w:cs="Times New Roman" w:ascii="Times New Roman" w:hAnsi="Times New Roman"/>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Heading1"/>
        <w:ind w:hanging="0" w:start="0"/>
        <w:rPr>
          <w:rFonts w:ascii="Times New Roman" w:hAnsi="Times New Roman" w:cs="Times New Roman"/>
        </w:rPr>
      </w:pPr>
      <w:bookmarkStart w:id="0" w:name="__RefHeading___Toc502545023"/>
      <w:bookmarkEnd w:id="0"/>
      <w:r>
        <w:rPr>
          <w:rFonts w:cs="Times New Roman" w:ascii="Times New Roman" w:hAnsi="Times New Roman"/>
        </w:rPr>
        <w:t>ARTICLE I</w:t>
        <w:br/>
        <w:t>INTERPRETATION</w:t>
      </w:r>
    </w:p>
    <w:p>
      <w:pPr>
        <w:pStyle w:val="Heading2"/>
        <w:keepNext w:val="true"/>
        <w:rPr>
          <w:vanish/>
          <w:color w:val="FF0000"/>
        </w:rPr>
      </w:pPr>
      <w:bookmarkStart w:id="1" w:name="__RefHeading___Toc502545024"/>
      <w:bookmarkEnd w:id="1"/>
      <w:r>
        <w:rPr/>
        <w:t>1.01</w:t>
        <w:tab/>
      </w:r>
      <w:r>
        <w:rPr>
          <w:u w:val="single"/>
        </w:rPr>
        <w:t>Definitions</w:t>
      </w:r>
    </w:p>
    <w:p>
      <w:pPr>
        <w:pStyle w:val="Normal"/>
        <w:keepNext w:val="true"/>
        <w:spacing w:before="0" w:after="240"/>
        <w:rPr>
          <w:rFonts w:ascii="Times New Roman" w:hAnsi="Times New Roman" w:cs="Times New Roman"/>
        </w:rPr>
      </w:pPr>
      <w:r>
        <w:rPr>
          <w:rFonts w:cs="Times New Roman" w:ascii="Times New Roman" w:hAnsi="Times New Roman"/>
        </w:rPr>
        <w:t>.  For purposes of this Agreement, the following terms shall have the meanings indicated:</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Accelerated Termination Date</w:t>
      </w:r>
      <w:r>
        <w:rPr>
          <w:rFonts w:cs="Times New Roman" w:ascii="Times New Roman" w:hAnsi="Times New Roman"/>
        </w:rPr>
        <w:t>” means, upon the occurrence and continuance of an Event of Change, the date designated by one party hereto that is not less than two and no more than 10 Business Days after notice is given by such party to the other party.</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Agreement</w:t>
      </w:r>
      <w:r>
        <w:rPr>
          <w:rFonts w:cs="Times New Roman" w:ascii="Times New Roman" w:hAnsi="Times New Roman"/>
        </w:rPr>
        <w:t>” shall have the meaning ascribed thereto in the introductory paragraphs hereto.</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Applicable Instruments</w:t>
      </w:r>
      <w:r>
        <w:rPr>
          <w:rFonts w:cs="Times New Roman" w:ascii="Times New Roman" w:hAnsi="Times New Roman"/>
        </w:rPr>
        <w:t>” of any Person shall mean the Certificate or Articles of Incorporation or the Certificate and Memorandum of Association, by-laws and other organizational documents of such Person and all contracts, indentures, agreements, instruments and documents to which such Person is a party or by which such Person or any assets of such Person may be bound or affected.</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Bankruptcy Code</w:t>
      </w:r>
      <w:r>
        <w:rPr>
          <w:rFonts w:cs="Times New Roman" w:ascii="Times New Roman" w:hAnsi="Times New Roman"/>
        </w:rPr>
        <w:t>” means the Federal Bankruptcy Code of 1978, as amended from time to time.</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Btu</w:t>
      </w:r>
      <w:r>
        <w:rPr>
          <w:rFonts w:cs="Times New Roman" w:ascii="Times New Roman" w:hAnsi="Times New Roman"/>
        </w:rPr>
        <w:t>” means the amount of energy required to raise the temperature of one pound of pure water one degree Fahrenheit from 59 degrees Fahrenheit to 60 degrees Fahrenheit.</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Business Day</w:t>
      </w:r>
      <w:r>
        <w:rPr>
          <w:rFonts w:cs="Times New Roman" w:ascii="Times New Roman" w:hAnsi="Times New Roman"/>
        </w:rPr>
        <w:t>” means a day, other than a Saturday or a Sunday, on which commercial banks are not authorized or required to be closed in New York, New York.</w:t>
      </w:r>
    </w:p>
    <w:p>
      <w:pPr>
        <w:pStyle w:val="Normal"/>
        <w:spacing w:before="0" w:after="240"/>
        <w:ind w:firstLine="720" w:start="720" w:end="0"/>
        <w:rPr>
          <w:rFonts w:ascii="Times New Roman" w:hAnsi="Times New Roman" w:cs="Times New Roman"/>
        </w:rPr>
      </w:pPr>
      <w:r>
        <w:rPr>
          <w:rFonts w:cs="Times New Roman" w:ascii="Times New Roman" w:hAnsi="Times New Roman"/>
        </w:rPr>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Contract Price</w:t>
      </w:r>
      <w:r>
        <w:rPr>
          <w:rFonts w:cs="Times New Roman" w:ascii="Times New Roman" w:hAnsi="Times New Roman"/>
        </w:rPr>
        <w:t>” means, in respect of each Delivery Month, the price per MMBtu set forth opposite such Delivery Month in Exhibit B.</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Deficiency Quantity</w:t>
      </w:r>
      <w:r>
        <w:rPr>
          <w:rFonts w:cs="Times New Roman" w:ascii="Times New Roman" w:hAnsi="Times New Roman"/>
        </w:rPr>
        <w:t>”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Delivery Month</w:t>
      </w:r>
      <w:r>
        <w:rPr>
          <w:rFonts w:cs="Times New Roman" w:ascii="Times New Roman" w:hAnsi="Times New Roman"/>
        </w:rPr>
        <w:t>” means each calendar month commencing with the month of April, 2001, through and including the month of November, 2005.</w:t>
      </w:r>
    </w:p>
    <w:p>
      <w:pPr>
        <w:pStyle w:val="Normal"/>
        <w:keepNext w:val="true"/>
        <w:spacing w:before="0" w:after="240"/>
        <w:ind w:firstLine="720" w:start="720" w:end="0"/>
        <w:rPr/>
      </w:pPr>
      <w:r>
        <w:rPr>
          <w:rFonts w:cs="Times New Roman" w:ascii="Times New Roman" w:hAnsi="Times New Roman"/>
        </w:rPr>
        <w:t>“</w:t>
      </w:r>
      <w:r>
        <w:rPr>
          <w:rFonts w:cs="Times New Roman" w:ascii="Times New Roman" w:hAnsi="Times New Roman"/>
          <w:u w:val="single"/>
        </w:rPr>
        <w:t>Delivery Point</w:t>
      </w:r>
      <w:r>
        <w:rPr>
          <w:rFonts w:cs="Times New Roman" w:ascii="Times New Roman" w:hAnsi="Times New Roman"/>
        </w:rPr>
        <w:t>” means Transcontinental Gas Pipeline, Zone 3 (Station 65) or  such other location as may be agreed by Seller and Purchaser from time to time.</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Early Termination Date</w:t>
      </w:r>
      <w:r>
        <w:rPr>
          <w:rFonts w:cs="Times New Roman" w:ascii="Times New Roman" w:hAnsi="Times New Roman"/>
        </w:rPr>
        <w:t>” shall have the meaning ascribed thereto in Section 5.02 hereto.</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Event of Change</w:t>
      </w:r>
      <w:r>
        <w:rPr>
          <w:rFonts w:cs="Times New Roman" w:ascii="Times New Roman" w:hAnsi="Times New Roman"/>
        </w:rPr>
        <w:t>” shall have the meaning ascribed thereto in Section 6.01 hereto.</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Federal Funds Rate</w:t>
      </w:r>
      <w:r>
        <w:rPr>
          <w:rFonts w:cs="Times New Roman" w:ascii="Times New Roman" w:hAnsi="Times New Roman"/>
        </w:rPr>
        <w:t>”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Purchaser from three Federal funds brokers of recognized standing selected by Purchaser.</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Force Majeure</w:t>
      </w:r>
      <w:r>
        <w:rPr>
          <w:rFonts w:cs="Times New Roman" w:ascii="Times New Roman" w:hAnsi="Times New Roman"/>
        </w:rPr>
        <w:t>” shall mean a failure by any party to perform obligations hereunder, except for the obligation to make payment due hereunder, to the extent that such failure is caused by war, riots, insurrections, fires, explosions, sabotage, strikes and other labor or industrial disturbances, acts of God or the elements, government laws, regulations or requests, disruption or breakdown of production or transportation facilities, failures of transporters in receiving and delivering natural gas tendered, compliance with OFO’s or other similar notices from a transporter, or by any other cause reasonably beyond the control of such party, but does not include the failure to perform obligations solely as a result of the fact that to do so will result in economic loss or hardship to such party.</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Governmental Requirement</w:t>
      </w:r>
      <w:r>
        <w:rPr>
          <w:rFonts w:cs="Times New Roman" w:ascii="Times New Roman" w:hAnsi="Times New Roman"/>
        </w:rPr>
        <w:t>” shall mean all judgments, orders, writs, injunctions, decrees, awards, laws, ordinances, statutes, regulations, rules, franchises, permits, certificates, licenses, authorizations and the like of any government or any commission, board, court, agency, instrumentality or political subdivision thereof.</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Hub Fees</w:t>
      </w:r>
      <w:r>
        <w:rPr>
          <w:rFonts w:cs="Times New Roman" w:ascii="Times New Roman" w:hAnsi="Times New Roman"/>
        </w:rPr>
        <w:t>” shall mean any charges, fees or costs, either by Seller or Purchaser, relating to hubs, pooling points or title transfers charged by either the pipeline immediately upstream of and delivering into the Delivery Points or the pipeline immediately downstream of and taking Natural Gas from the Delivery Points and actually incurred in connection with the transfer of Natural Gas between Seller and Purchaser at the Delivery Points.</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MMBtu</w:t>
      </w:r>
      <w:r>
        <w:rPr>
          <w:rFonts w:cs="Times New Roman" w:ascii="Times New Roman" w:hAnsi="Times New Roman"/>
        </w:rPr>
        <w:t>” means one million Btus.</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Margin Agreement</w:t>
      </w:r>
      <w:r>
        <w:rPr>
          <w:rFonts w:cs="Times New Roman" w:ascii="Times New Roman" w:hAnsi="Times New Roman"/>
        </w:rPr>
        <w:t>” means the Margin Agreement of even date herewith between the Seller and Purchaser, as the same may be modified from time to time.</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Monthly Delivered Quantity</w:t>
      </w:r>
      <w:r>
        <w:rPr>
          <w:rFonts w:cs="Times New Roman" w:ascii="Times New Roman" w:hAnsi="Times New Roman"/>
        </w:rPr>
        <w:t>” means, with respect to any Delivery Month, the quantity of Natural Gas actually delivered to Purchaser hereunder during such Delivery Month.</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Natural Gas</w:t>
      </w:r>
      <w:r>
        <w:rPr>
          <w:rFonts w:cs="Times New Roman" w:ascii="Times New Roman" w:hAnsi="Times New Roman"/>
        </w:rPr>
        <w:t>” means a mixture of gaseous hydrocarbons consisting primarily of methane and meeting the quality standards and specifications required pursuant to Section 2.02.</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NYMEX</w:t>
      </w:r>
      <w:r>
        <w:rPr>
          <w:rFonts w:cs="Times New Roman" w:ascii="Times New Roman" w:hAnsi="Times New Roman"/>
        </w:rPr>
        <w:t>” means the New York Mercantile Exchange, Inc. and any successor thereto by merger, consolidation, or sale of assets.</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OFO</w:t>
      </w:r>
      <w:r>
        <w:rPr>
          <w:rFonts w:cs="Times New Roman" w:ascii="Times New Roman" w:hAnsi="Times New Roman"/>
        </w:rPr>
        <w:t>” shall have the meaning ascribed thereto in Section 2.06(c).</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Payment Date</w:t>
      </w:r>
      <w:r>
        <w:rPr>
          <w:rFonts w:cs="Times New Roman" w:ascii="Times New Roman" w:hAnsi="Times New Roman"/>
        </w:rPr>
        <w:t>” shall mean the 25</w:t>
      </w:r>
      <w:r>
        <w:rPr>
          <w:rFonts w:cs="Times New Roman" w:ascii="Times New Roman" w:hAnsi="Times New Roman"/>
          <w:vertAlign w:val="superscript"/>
        </w:rPr>
        <w:t>th</w:t>
      </w:r>
      <w:r>
        <w:rPr>
          <w:rFonts w:cs="Times New Roman" w:ascii="Times New Roman" w:hAnsi="Times New Roman"/>
        </w:rPr>
        <w:t xml:space="preserve"> day of each month commencing on May 25, 2001, </w:t>
      </w:r>
      <w:r>
        <w:rPr>
          <w:rFonts w:cs="Times New Roman" w:ascii="Times New Roman" w:hAnsi="Times New Roman"/>
          <w:u w:val="single"/>
        </w:rPr>
        <w:t>provided</w:t>
      </w:r>
      <w:r>
        <w:rPr>
          <w:rFonts w:cs="Times New Roman" w:ascii="Times New Roman" w:hAnsi="Times New Roman"/>
        </w:rPr>
        <w:t xml:space="preserve"> that if any such date is not a Business Day, the relevant Payment Date shall be the next succeeding Business Day.</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shall mean any individual, corporation, company, partnership, joint venture, trust, unincorporated association, government or any commission, board, court, agency, instrumentality or political subdivision thereof, any other entity or any trustee, receiver, custodian or similar official.</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Purchaser</w:t>
      </w:r>
      <w:r>
        <w:rPr>
          <w:rFonts w:cs="Times New Roman" w:ascii="Times New Roman" w:hAnsi="Times New Roman"/>
        </w:rPr>
        <w:t>” shall have the meaning ascribed thereto in the introductory paragraphs hereto.</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Reference Dealer</w:t>
      </w:r>
      <w:r>
        <w:rPr>
          <w:rFonts w:cs="Times New Roman" w:ascii="Times New Roman" w:hAnsi="Times New Roman"/>
        </w:rPr>
        <w:t>”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Replacement Value</w:t>
      </w:r>
      <w:r>
        <w:rPr>
          <w:rFonts w:cs="Times New Roman" w:ascii="Times New Roman" w:hAnsi="Times New Roman"/>
        </w:rPr>
        <w:t>” means (a) where the non-defaulting party purchases or sells (or contracts to purchase or sell) the Deficiency Quantity and in all cases other than in the case of an event of Force Majeure,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 and (b) solely in the case of an event of Force Majeure, an amount equal to the product of (x) the difference between the Spot Price and the Contract Price and (y) the Deficiency Quantity.</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Required Delivery Quantity</w:t>
      </w:r>
      <w:r>
        <w:rPr>
          <w:rFonts w:cs="Times New Roman" w:ascii="Times New Roman" w:hAnsi="Times New Roman"/>
        </w:rPr>
        <w:t>” means the amount of MMBtus of Natural Gas to be delivered and received during a given Delivery Month as set forth in Exhibit A.</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Seller</w:t>
      </w:r>
      <w:r>
        <w:rPr>
          <w:rFonts w:cs="Times New Roman" w:ascii="Times New Roman" w:hAnsi="Times New Roman"/>
        </w:rPr>
        <w:t>” shall have the meaning ascribed thereto in the introductory paragraphs hereto.</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Spot Price</w:t>
      </w:r>
      <w:r>
        <w:rPr>
          <w:rFonts w:cs="Times New Roman" w:ascii="Times New Roman" w:hAnsi="Times New Roman"/>
        </w:rPr>
        <w:t xml:space="preserve">” means the first of the month index price for Natural Gas at the Delivery Point as quoted in </w:t>
      </w:r>
      <w:r>
        <w:rPr>
          <w:rFonts w:cs="Times New Roman" w:ascii="Times New Roman" w:hAnsi="Times New Roman"/>
          <w:i/>
        </w:rPr>
        <w:t>Inside F.E.R.C’s Gas Market Reporter</w:t>
      </w:r>
      <w:r>
        <w:rPr>
          <w:rFonts w:cs="Times New Roman" w:ascii="Times New Roman" w:hAnsi="Times New Roman"/>
        </w:rPr>
        <w:t xml:space="preserve">, or any successor publication, published by McGraw-Hill Inc. or its successor or if such price is unavailable, the first of month index price for Natural Gas at the Delivery Point as quoted in </w:t>
      </w:r>
      <w:r>
        <w:rPr>
          <w:rFonts w:cs="Times New Roman" w:ascii="Times New Roman" w:hAnsi="Times New Roman"/>
          <w:i/>
        </w:rPr>
        <w:t>Gas Daily</w:t>
      </w:r>
      <w:r>
        <w:rPr>
          <w:rFonts w:cs="Times New Roman" w:ascii="Times New Roman" w:hAnsi="Times New Roman"/>
        </w:rPr>
        <w:t>, or any successor publication, published by Pasha Publications, Inc. or its successor.</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Taxes</w:t>
      </w:r>
      <w:r>
        <w:rPr>
          <w:rFonts w:cs="Times New Roman" w:ascii="Times New Roman" w:hAnsi="Times New Roman"/>
        </w:rPr>
        <w:t>” means all ad valorem, property, occupation, severance, production, gathering, pipeline, utility, gross production, sales, use, excise, transaction and any other governmental charges and assessments, other than taxes based on net income or net worth.</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Termination Amount</w:t>
      </w:r>
      <w:r>
        <w:rPr>
          <w:rFonts w:cs="Times New Roman" w:ascii="Times New Roman" w:hAnsi="Times New Roman"/>
        </w:rPr>
        <w:t>” means, as at any date, the amount calculated in accordance with the provisions of Section 5.02.</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Termination Date</w:t>
      </w:r>
      <w:r>
        <w:rPr>
          <w:rFonts w:cs="Times New Roman" w:ascii="Times New Roman" w:hAnsi="Times New Roman"/>
        </w:rPr>
        <w:t>” means the Accelerated Termination Date or the Early Termination Date, as the case may be.</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United States Dollars</w:t>
      </w:r>
      <w:r>
        <w:rPr>
          <w:rFonts w:cs="Times New Roman" w:ascii="Times New Roman" w:hAnsi="Times New Roman"/>
        </w:rPr>
        <w:t>” or “</w:t>
      </w:r>
      <w:r>
        <w:rPr>
          <w:rFonts w:cs="Times New Roman" w:ascii="Times New Roman" w:hAnsi="Times New Roman"/>
          <w:u w:val="single"/>
        </w:rPr>
        <w:t>U.S. $</w:t>
      </w:r>
      <w:r>
        <w:rPr>
          <w:rFonts w:cs="Times New Roman" w:ascii="Times New Roman" w:hAnsi="Times New Roman"/>
        </w:rPr>
        <w:t>” means the lawful currency of the United States of America in immediately available funds.</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U.S. Base Rate</w:t>
      </w:r>
      <w:r>
        <w:rPr>
          <w:rFonts w:cs="Times New Roman" w:ascii="Times New Roman" w:hAnsi="Times New Roman"/>
        </w:rPr>
        <w:t>” means, at any time, a fluctuating interest rate per annum as shall be in effect from time to time, which rate per annum shall at all times be equal to the highest of:</w:t>
      </w:r>
    </w:p>
    <w:p>
      <w:pPr>
        <w:pStyle w:val="Normal"/>
        <w:spacing w:before="0" w:after="240"/>
        <w:ind w:firstLine="720" w:start="1440" w:end="0"/>
        <w:rPr>
          <w:rFonts w:ascii="Times New Roman" w:hAnsi="Times New Roman" w:cs="Times New Roman"/>
        </w:rPr>
      </w:pPr>
      <w:r>
        <w:rPr>
          <w:rFonts w:cs="Times New Roman" w:ascii="Times New Roman" w:hAnsi="Times New Roman"/>
        </w:rPr>
        <w:t>(i)</w:t>
        <w:tab/>
        <w:t>the rate of interest announced publicly by The Chase Manhattan Bank in New York, New York, from time to time, as its prime commercial lending rate; or</w:t>
      </w:r>
    </w:p>
    <w:p>
      <w:pPr>
        <w:pStyle w:val="Normal"/>
        <w:spacing w:before="0" w:after="240"/>
        <w:ind w:firstLine="720" w:start="1440" w:end="0"/>
        <w:rPr>
          <w:rFonts w:ascii="Times New Roman" w:hAnsi="Times New Roman" w:cs="Times New Roman"/>
        </w:rPr>
      </w:pPr>
      <w:r>
        <w:rPr>
          <w:rFonts w:cs="Times New Roman" w:ascii="Times New Roman" w:hAnsi="Times New Roman"/>
        </w:rPr>
        <w:t>(ii)</w:t>
        <w:tab/>
        <w:t>one-half of one percent per annum above the latest three-week moving average of secondary market morning offering rates in the United States for three</w:t>
        <w:noBreakHyphen/>
        <w:t>month certificates of deposit of major United States money center banks, such three</w:t>
        <w:noBreakHyphen/>
        <w:t>week moving average being determined weekly on each Monday (or, if any such day is not a Business Day, on the next succeeding Business Day) for the three</w:t>
        <w:noBreakHyphen/>
        <w:t>week period ending on the previous Friday by Purchaser on the basis of such rates reported by certificate of deposit dealers to and published by the Federal Reserve Bank of New York or, if such publication shall be suspended or terminated, on the basis of quotations for such rates received by Purchaser from three New York certificate of deposit dealers of recognized standing selected by Purchaser, in either case adjusted to the nearest one-quarter of one percent or, if there is no nearest one-quarter of one percent, to the next higher one-quarter of one percent; or</w:t>
      </w:r>
    </w:p>
    <w:p>
      <w:pPr>
        <w:pStyle w:val="Normal"/>
        <w:spacing w:before="0" w:after="240"/>
        <w:ind w:firstLine="720" w:start="1440" w:end="0"/>
        <w:rPr>
          <w:rFonts w:ascii="Times New Roman" w:hAnsi="Times New Roman" w:cs="Times New Roman"/>
        </w:rPr>
      </w:pPr>
      <w:r>
        <w:rPr>
          <w:rFonts w:cs="Times New Roman" w:ascii="Times New Roman" w:hAnsi="Times New Roman"/>
        </w:rPr>
        <w:t>(iii) one-half of one percent per annum above the Federal Funds Rate in effect from time to time.</w:t>
      </w:r>
    </w:p>
    <w:p>
      <w:pPr>
        <w:pStyle w:val="Normal"/>
        <w:spacing w:before="0" w:after="240"/>
        <w:ind w:start="720" w:end="0"/>
        <w:rPr>
          <w:rFonts w:ascii="Times New Roman" w:hAnsi="Times New Roman" w:cs="Times New Roman"/>
        </w:rPr>
      </w:pPr>
      <w:r>
        <w:rPr>
          <w:rFonts w:cs="Times New Roman" w:ascii="Times New Roman" w:hAnsi="Times New Roman"/>
        </w:rPr>
        <w:t>In the event there is any overdue amount, Purchaser will use reasonable efforts to inform Seller of changes in the U.S. Base Rate promptly upon becoming aware of such changes.</w:t>
      </w:r>
    </w:p>
    <w:p>
      <w:pPr>
        <w:pStyle w:val="Heading2"/>
        <w:rPr>
          <w:vanish/>
          <w:color w:val="FF0000"/>
        </w:rPr>
      </w:pPr>
      <w:bookmarkStart w:id="2" w:name="__RefHeading___Toc502545025"/>
      <w:bookmarkEnd w:id="2"/>
      <w:r>
        <w:rPr/>
        <w:t>1.02</w:t>
        <w:tab/>
      </w:r>
      <w:r>
        <w:rPr>
          <w:u w:val="single"/>
        </w:rPr>
        <w:t>Headings</w:t>
      </w:r>
    </w:p>
    <w:p>
      <w:pPr>
        <w:pStyle w:val="Normal"/>
        <w:spacing w:before="0" w:after="240"/>
        <w:rPr>
          <w:rFonts w:ascii="Times New Roman" w:hAnsi="Times New Roman" w:cs="Times New Roman"/>
        </w:rPr>
      </w:pPr>
      <w:r>
        <w:rPr>
          <w:rFonts w:cs="Times New Roman" w:ascii="Times New Roman" w:hAnsi="Times New Roman"/>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expressions refer to this Agreement and not to any particular Article, Section, paragraph, Exhibit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Heading2"/>
        <w:rPr>
          <w:vanish/>
          <w:color w:val="FF0000"/>
          <w:u w:val="single"/>
        </w:rPr>
      </w:pPr>
      <w:bookmarkStart w:id="3" w:name="__RefHeading___Toc502545026"/>
      <w:bookmarkEnd w:id="3"/>
      <w:r>
        <w:rPr/>
        <w:t>1.03</w:t>
        <w:tab/>
      </w:r>
      <w:r>
        <w:rPr>
          <w:u w:val="single"/>
        </w:rPr>
        <w:t>Number</w:t>
      </w:r>
    </w:p>
    <w:p>
      <w:pPr>
        <w:pStyle w:val="Normal"/>
        <w:spacing w:before="0" w:after="240"/>
        <w:rPr>
          <w:rFonts w:ascii="Times New Roman" w:hAnsi="Times New Roman" w:cs="Times New Roman"/>
        </w:rPr>
      </w:pPr>
      <w:r>
        <w:rPr>
          <w:rFonts w:cs="Times New Roman" w:ascii="Times New Roman" w:hAnsi="Times New Roman"/>
        </w:rPr>
        <w:t>.  Words importing the singular number shall include the plural and vice versa, and words importing the masculine gender shall include the feminine and neuter genders and vice versa.</w:t>
      </w:r>
    </w:p>
    <w:p>
      <w:pPr>
        <w:pStyle w:val="Heading2"/>
        <w:rPr>
          <w:vanish/>
          <w:color w:val="FF0000"/>
          <w:u w:val="single"/>
        </w:rPr>
      </w:pPr>
      <w:bookmarkStart w:id="4" w:name="__RefHeading___Toc502545027"/>
      <w:bookmarkEnd w:id="4"/>
      <w:r>
        <w:rPr/>
        <w:t>1.04</w:t>
        <w:tab/>
      </w:r>
      <w:r>
        <w:rPr>
          <w:u w:val="single"/>
        </w:rPr>
        <w:t>Non-Business Days</w:t>
      </w:r>
    </w:p>
    <w:p>
      <w:pPr>
        <w:pStyle w:val="Normal"/>
        <w:spacing w:before="0" w:after="240"/>
        <w:rPr>
          <w:rFonts w:ascii="Times New Roman" w:hAnsi="Times New Roman" w:cs="Times New Roman"/>
        </w:rPr>
      </w:pPr>
      <w:r>
        <w:rPr>
          <w:rFonts w:cs="Times New Roman" w:ascii="Times New Roman" w:hAnsi="Times New Roman"/>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Heading1"/>
        <w:keepLines/>
        <w:ind w:hanging="0" w:start="0"/>
        <w:rPr>
          <w:rFonts w:ascii="Times New Roman" w:hAnsi="Times New Roman" w:cs="Times New Roman"/>
        </w:rPr>
      </w:pPr>
      <w:bookmarkStart w:id="5" w:name="__RefHeading___Toc502545028"/>
      <w:bookmarkEnd w:id="5"/>
      <w:r>
        <w:rPr>
          <w:rFonts w:cs="Times New Roman" w:ascii="Times New Roman" w:hAnsi="Times New Roman"/>
        </w:rPr>
        <w:t>ARTICLE II</w:t>
        <w:br/>
        <w:t>SALE AND PURCHASE OF NATURAL GAS</w:t>
      </w:r>
    </w:p>
    <w:p>
      <w:pPr>
        <w:pStyle w:val="Heading2"/>
        <w:keepNext w:val="true"/>
        <w:keepLines/>
        <w:rPr>
          <w:vanish/>
          <w:color w:val="FF0000"/>
          <w:u w:val="single"/>
        </w:rPr>
      </w:pPr>
      <w:bookmarkStart w:id="6" w:name="__RefHeading___Toc502545029"/>
      <w:bookmarkEnd w:id="6"/>
      <w:r>
        <w:rPr/>
        <w:t>2.01</w:t>
        <w:tab/>
      </w:r>
      <w:r>
        <w:rPr>
          <w:u w:val="single"/>
        </w:rPr>
        <w:t>Sale and Purchase of Natural Gas</w:t>
      </w:r>
    </w:p>
    <w:p>
      <w:pPr>
        <w:pStyle w:val="Normal"/>
        <w:keepNext w:val="true"/>
        <w:keepLines/>
        <w:spacing w:before="0" w:after="240"/>
        <w:rPr>
          <w:rFonts w:ascii="Times New Roman" w:hAnsi="Times New Roman" w:cs="Times New Roman"/>
        </w:rPr>
      </w:pPr>
      <w:r>
        <w:rPr>
          <w:rFonts w:cs="Times New Roman" w:ascii="Times New Roman" w:hAnsi="Times New Roman"/>
        </w:rPr>
        <w:t xml:space="preserve">.  </w:t>
      </w:r>
    </w:p>
    <w:p>
      <w:pPr>
        <w:pStyle w:val="Normal"/>
        <w:spacing w:before="0" w:after="240"/>
        <w:ind w:firstLine="720" w:end="0"/>
        <w:rPr/>
      </w:pPr>
      <w:r>
        <w:rPr>
          <w:rFonts w:cs="Times New Roman" w:ascii="Times New Roman" w:hAnsi="Times New Roman"/>
        </w:rPr>
        <w:t>(a)</w:t>
        <w:tab/>
      </w:r>
      <w:r>
        <w:rPr>
          <w:rFonts w:cs="Times New Roman" w:ascii="Times New Roman" w:hAnsi="Times New Roman"/>
          <w:u w:val="single"/>
        </w:rPr>
        <w:t>Delivery of Natural Gas</w:t>
      </w:r>
      <w:r>
        <w:rPr>
          <w:rFonts w:cs="Times New Roman" w:ascii="Times New Roman" w:hAnsi="Times New Roman"/>
        </w:rPr>
        <w:t>.  Seller hereby agrees to sell and deliver, or cause to be delivered to Purchaser or to the account of Purchaser, in each Delivery Month, at the Delivery Point, the Required Delivery Quantity of Natural Gas (in the amounts as set forth in Exhibit A hereto) on the terms and conditions set forth in this Agreement, and Purchaser hereby agrees to accept delivery of such Natural Gas.</w:t>
      </w:r>
    </w:p>
    <w:p>
      <w:pPr>
        <w:pStyle w:val="Normal"/>
        <w:spacing w:before="0" w:after="240"/>
        <w:ind w:firstLine="720" w:end="0"/>
        <w:rPr/>
      </w:pPr>
      <w:r>
        <w:rPr>
          <w:rFonts w:cs="Times New Roman" w:ascii="Times New Roman" w:hAnsi="Times New Roman"/>
        </w:rPr>
        <w:t>(b)</w:t>
        <w:tab/>
      </w:r>
      <w:r>
        <w:rPr>
          <w:rFonts w:cs="Times New Roman" w:ascii="Times New Roman" w:hAnsi="Times New Roman"/>
          <w:u w:val="single"/>
        </w:rPr>
        <w:t>Payment for Natural Gas</w:t>
      </w:r>
      <w:r>
        <w:rPr>
          <w:rFonts w:cs="Times New Roman" w:ascii="Times New Roman" w:hAnsi="Times New Roman"/>
        </w:rPr>
        <w:t>.  On the Payment Date following each Delivery Month, Purchaser shall pay Seller an amount, in immediately available funds in United States Dollars, equal to the Monthly Delivered Quantity for the previous Delivery Month times the Contract Price, such payment to be made to an account specified by the Seller.</w:t>
      </w:r>
    </w:p>
    <w:p>
      <w:pPr>
        <w:pStyle w:val="Normal"/>
        <w:spacing w:before="0" w:after="240"/>
        <w:ind w:firstLine="720" w:end="0"/>
        <w:rPr>
          <w:rFonts w:ascii="Times New Roman" w:hAnsi="Times New Roman" w:cs="Times New Roman"/>
          <w:vanish/>
          <w:color w:val="FF0000"/>
        </w:rPr>
      </w:pPr>
      <w:r>
        <w:rPr>
          <w:rFonts w:cs="Times New Roman" w:ascii="Times New Roman" w:hAnsi="Times New Roman"/>
        </w:rPr>
        <w:t>2.02</w:t>
        <w:tab/>
      </w:r>
      <w:r>
        <w:rPr>
          <w:rFonts w:cs="Times New Roman" w:ascii="Times New Roman" w:hAnsi="Times New Roman"/>
          <w:u w:val="single"/>
        </w:rPr>
        <w:t>Measurement and Quality</w:t>
      </w:r>
    </w:p>
    <w:p>
      <w:pPr>
        <w:pStyle w:val="Normal"/>
        <w:spacing w:before="0" w:after="240"/>
        <w:rPr/>
      </w:pPr>
      <w:r>
        <w:rPr>
          <w:rFonts w:cs="Times New Roman" w:ascii="Times New Roman" w:hAnsi="Times New Roman"/>
        </w:rPr>
        <w:t>.  Natural Gas delivered hereunder shall be measured by the operator of the Delivery Point in accordance with its then current Federal Energy Regulatory Commission (“</w:t>
      </w:r>
      <w:r>
        <w:rPr>
          <w:rFonts w:cs="Times New Roman" w:ascii="Times New Roman" w:hAnsi="Times New Roman"/>
          <w:u w:val="single"/>
        </w:rPr>
        <w:t>FERC</w:t>
      </w:r>
      <w:r>
        <w:rPr>
          <w:rFonts w:cs="Times New Roman" w:ascii="Times New Roman" w:hAnsi="Times New Roman"/>
        </w:rPr>
        <w:t>”) approved tariff procedures.  All such Natural Gas shall meet or exceed the then current FERC approved tariff of Purchaser’s transporter receiving gas at the Delivery Point, including, without limitation, requirements of quality, composition, temperature and pressure.</w:t>
      </w:r>
    </w:p>
    <w:p>
      <w:pPr>
        <w:pStyle w:val="Heading2"/>
        <w:keepNext w:val="true"/>
        <w:rPr>
          <w:vanish/>
          <w:color w:val="FF0000"/>
          <w:u w:val="single"/>
        </w:rPr>
      </w:pPr>
      <w:bookmarkStart w:id="7" w:name="__RefHeading___Toc502545030"/>
      <w:bookmarkEnd w:id="7"/>
      <w:r>
        <w:rPr/>
        <w:t>2.03</w:t>
        <w:tab/>
      </w:r>
      <w:r>
        <w:rPr>
          <w:u w:val="single"/>
        </w:rPr>
        <w:t>Delivery and Receipt of Natural Gas</w:t>
      </w:r>
    </w:p>
    <w:p>
      <w:pPr>
        <w:pStyle w:val="Normal"/>
        <w:keepNext w:val="true"/>
        <w:spacing w:before="0" w:after="240"/>
        <w:rPr>
          <w:rFonts w:ascii="Times New Roman" w:hAnsi="Times New Roman" w:cs="Times New Roman"/>
        </w:rPr>
      </w:pPr>
      <w:r>
        <w:rPr>
          <w:rFonts w:cs="Times New Roman" w:ascii="Times New Roman" w:hAnsi="Times New Roman"/>
        </w:rPr>
        <w:t xml:space="preserve">.  </w:t>
      </w:r>
    </w:p>
    <w:p>
      <w:pPr>
        <w:pStyle w:val="Normal"/>
        <w:spacing w:before="0" w:after="240"/>
        <w:ind w:firstLine="720" w:end="0"/>
        <w:rPr/>
      </w:pPr>
      <w:r>
        <w:rPr>
          <w:rFonts w:cs="Times New Roman" w:ascii="Times New Roman" w:hAnsi="Times New Roman"/>
        </w:rPr>
        <w:t>(a)</w:t>
        <w:tab/>
      </w:r>
      <w:r>
        <w:rPr>
          <w:rFonts w:cs="Times New Roman" w:ascii="Times New Roman" w:hAnsi="Times New Roman"/>
          <w:u w:val="single"/>
        </w:rPr>
        <w:t>Scheduling</w:t>
      </w:r>
      <w:r>
        <w:rPr>
          <w:rFonts w:cs="Times New Roman" w:ascii="Times New Roman" w:hAnsi="Times New Roman"/>
        </w:rPr>
        <w:t>.  The Seller and Purchaser shall take such action as shall be necessary to properly schedule the delivery and receipt of Natural Gas at the Delivery Point in each Delivery Month in compliance with all rules, regulations and procedures applicable at the Delivery Point.</w:t>
      </w:r>
    </w:p>
    <w:p>
      <w:pPr>
        <w:pStyle w:val="Normal"/>
        <w:spacing w:before="0" w:after="240"/>
        <w:ind w:firstLine="720" w:end="0"/>
        <w:rPr/>
      </w:pPr>
      <w:r>
        <w:rPr>
          <w:rFonts w:cs="Times New Roman" w:ascii="Times New Roman" w:hAnsi="Times New Roman"/>
        </w:rPr>
        <w:t>(b)</w:t>
        <w:tab/>
      </w:r>
      <w:r>
        <w:rPr>
          <w:rFonts w:cs="Times New Roman" w:ascii="Times New Roman" w:hAnsi="Times New Roman"/>
          <w:u w:val="single"/>
        </w:rPr>
        <w:t>Delivery</w:t>
      </w:r>
      <w:r>
        <w:rPr>
          <w:rFonts w:cs="Times New Roman" w:ascii="Times New Roman" w:hAnsi="Times New Roman"/>
        </w:rPr>
        <w:t>.  Each Delivery Month, the Seller shall arrange for delivery and the Purchaser shall arrange for receipt of Natural Gas to begin at the Delivery Point no later than the first calendar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Heading2"/>
        <w:rPr>
          <w:vanish/>
          <w:color w:val="FF0000"/>
        </w:rPr>
      </w:pPr>
      <w:bookmarkStart w:id="8" w:name="__RefHeading___Toc502545031"/>
      <w:bookmarkEnd w:id="8"/>
      <w:r>
        <w:rPr/>
        <w:t>2.04</w:t>
        <w:tab/>
      </w:r>
      <w:r>
        <w:rPr>
          <w:u w:val="single"/>
        </w:rPr>
        <w:t>Payment of Fees</w:t>
      </w:r>
    </w:p>
    <w:p>
      <w:pPr>
        <w:pStyle w:val="Normal"/>
        <w:spacing w:before="0" w:after="240"/>
        <w:rPr>
          <w:rFonts w:ascii="Times New Roman" w:hAnsi="Times New Roman" w:cs="Times New Roman"/>
        </w:rPr>
      </w:pPr>
      <w:r>
        <w:rPr>
          <w:rFonts w:cs="Times New Roman" w:ascii="Times New Roman" w:hAnsi="Times New Roman"/>
        </w:rPr>
        <w:t>.  Seller shall obtain and pay all costs in connection with transportation of the Natural Gas to the Delivery Point and Purchaser shall obtain and pay all costs in connection with transportation of the Natural Gas from the Delivery Point.  Seller shall be responsible for the payment of all Hub Fees (whether charged to Seller or Purchaser) payable in connection with delivery of Natural Gas hereunder at the Delivery Point.  Seller shall not be responsible for any insurance, storage, transportation or other costs in respect of the period after title to any Natural Gas delivered hereunder has passed to Purchaser in accordance with Section 2.08 of this Agreement.  Purchaser shall not be responsible for any insurance, storage, transportation or other costs in respect of the period prior to the time title to any Natural Gas delivered hereunder has passed to Purchaser in accordance with Section 2.08 of this Agreement.</w:t>
      </w:r>
    </w:p>
    <w:p>
      <w:pPr>
        <w:pStyle w:val="Heading2"/>
        <w:rPr>
          <w:vanish/>
          <w:color w:val="FF0000"/>
        </w:rPr>
      </w:pPr>
      <w:bookmarkStart w:id="9" w:name="__RefHeading___Toc502545032"/>
      <w:bookmarkEnd w:id="9"/>
      <w:r>
        <w:rPr/>
        <w:t>2.05</w:t>
        <w:tab/>
      </w:r>
      <w:r>
        <w:rPr>
          <w:u w:val="single"/>
        </w:rPr>
        <w:t>Default Delivery Points</w:t>
      </w:r>
    </w:p>
    <w:p>
      <w:pPr>
        <w:pStyle w:val="Normal"/>
        <w:spacing w:before="0" w:after="240"/>
        <w:rPr>
          <w:rFonts w:ascii="Times New Roman" w:hAnsi="Times New Roman" w:cs="Times New Roman"/>
        </w:rPr>
      </w:pPr>
      <w:r>
        <w:rPr>
          <w:rFonts w:cs="Times New Roman" w:ascii="Times New Roman" w:hAnsi="Times New Roman"/>
        </w:rPr>
        <w:t>.  Seller is obligated to deliver to Purchaser and Purchaser is obligated to receive from Seller, at the Delivery Point, the Required Delivery Quantity of Natural Gas in accordance with the terms and conditions of this Agreement.  If either (i) Seller is unable, after using all reasonable business efforts, to deliver the Required Delivery Quantity to Purchaser at the Delivery Point or (ii) Purchaser is unable, after using all reasonable business efforts, to receive the Required Delivery Quantity from Seller at the Delivery Point, Seller shall be obligated to deliver and Purchaser shall be obligated to receive, the relevant Required Delivery Quantity at a comparable delivery point or points, with the adjustments for quality and location, in each case as agreed by Seller and Purchaser (which point or points shall thereafter be the “Delivery Point” in respect of such Required Delivery Quantity).</w:t>
      </w:r>
    </w:p>
    <w:p>
      <w:pPr>
        <w:pStyle w:val="Heading2"/>
        <w:keepNext w:val="true"/>
        <w:rPr>
          <w:vanish/>
          <w:color w:val="FF0000"/>
          <w:u w:val="single"/>
        </w:rPr>
      </w:pPr>
      <w:bookmarkStart w:id="10" w:name="__RefHeading___Toc502545033"/>
      <w:bookmarkEnd w:id="10"/>
      <w:r>
        <w:rPr/>
        <w:t>2.06</w:t>
        <w:tab/>
      </w:r>
      <w:r>
        <w:rPr>
          <w:u w:val="single"/>
        </w:rPr>
        <w:t>Transportation and Balancing</w:t>
      </w:r>
    </w:p>
    <w:p>
      <w:pPr>
        <w:pStyle w:val="Normal"/>
        <w:keepNext w:val="true"/>
        <w:spacing w:before="0" w:after="240"/>
        <w:rPr>
          <w:rFonts w:ascii="Times New Roman" w:hAnsi="Times New Roman" w:cs="Times New Roman"/>
        </w:rPr>
      </w:pPr>
      <w:r>
        <w:rPr>
          <w:rFonts w:cs="Times New Roman" w:ascii="Times New Roman" w:hAnsi="Times New Roman"/>
        </w:rPr>
        <w:t xml:space="preserve">.  </w:t>
      </w:r>
    </w:p>
    <w:p>
      <w:pPr>
        <w:pStyle w:val="Normal"/>
        <w:spacing w:before="0" w:after="240"/>
        <w:ind w:firstLine="720" w:end="0"/>
        <w:rPr/>
      </w:pPr>
      <w:r>
        <w:rPr>
          <w:rFonts w:cs="Times New Roman" w:ascii="Times New Roman" w:hAnsi="Times New Roman"/>
        </w:rPr>
        <w:t>(a)</w:t>
        <w:tab/>
      </w:r>
      <w:r>
        <w:rPr>
          <w:rFonts w:cs="Times New Roman" w:ascii="Times New Roman" w:hAnsi="Times New Roman"/>
          <w:u w:val="single"/>
        </w:rPr>
        <w:t>Force Majeure</w:t>
      </w:r>
      <w:r>
        <w:rPr>
          <w:rFonts w:cs="Times New Roman" w:ascii="Times New Roman" w:hAnsi="Times New Roman"/>
        </w:rPr>
        <w:t>.  Without prejudice to Articles V and VI, if as a result of Force Majeure (i) Seller does not or is unable to meet its delivery obligation in respect of a Delivery Month at the Delivery Points or at a comparable delivery point or points agreed upon pursuant to this Agreement, or (ii) Purchaser does not or is unable to meet its obligation to accept delivery in respect of a Delivery Month at the Delivery Points or at such comparable delivery point or points, then Seller and Purchaser shall be excused from their respective obligations to deliver and accept the relevant Required Delivery Quantity in respect of that Delivery Month, and Seller shall pay to Purchaser, as liquidated damages, an amount, if positive, equal to the Replacement Value of the Deficiency Quantity of Natural Gas in respect of that Delivery Month; if such amount is negative, the Purchaser shall pay to Seller, as liquidated damages, the absolute value of such amount.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pPr>
      <w:r>
        <w:rPr>
          <w:rFonts w:cs="Times New Roman" w:ascii="Times New Roman" w:hAnsi="Times New Roman"/>
        </w:rPr>
        <w:t>(b)</w:t>
        <w:tab/>
      </w:r>
      <w:r>
        <w:rPr>
          <w:rFonts w:cs="Times New Roman" w:ascii="Times New Roman" w:hAnsi="Times New Roman"/>
          <w:u w:val="single"/>
        </w:rPr>
        <w:t>Overages and Underages</w:t>
      </w:r>
      <w:r>
        <w:rPr>
          <w:rFonts w:cs="Times New Roman" w:ascii="Times New Roman" w:hAnsi="Times New Roman"/>
        </w:rPr>
        <w:t>.  In the event that (i) Seller or Seller's transporter delivers more or less than the Required Delivery Quantity for any Delivery Month, or (ii) Purchaser or Purchaser's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spacing w:before="0" w:after="240"/>
        <w:ind w:firstLine="720" w:end="0"/>
        <w:rPr>
          <w:rFonts w:ascii="Times New Roman" w:hAnsi="Times New Roman" w:cs="Times New Roman"/>
        </w:rPr>
      </w:pPr>
      <w:r>
        <w:rPr>
          <w:rFonts w:cs="Times New Roman" w:ascii="Times New Roman" w:hAnsi="Times New Roman"/>
        </w:rPr>
      </w:r>
    </w:p>
    <w:p>
      <w:pPr>
        <w:pStyle w:val="Normal"/>
        <w:spacing w:before="0" w:after="240"/>
        <w:ind w:firstLine="720" w:end="0"/>
        <w:rPr/>
      </w:pPr>
      <w:r>
        <w:rPr>
          <w:rFonts w:cs="Times New Roman" w:ascii="Times New Roman" w:hAnsi="Times New Roman"/>
        </w:rPr>
        <w:t xml:space="preserve"> </w:t>
      </w:r>
      <w:r>
        <w:rPr>
          <w:rFonts w:cs="Times New Roman" w:ascii="Times New Roman" w:hAnsi="Times New Roman"/>
        </w:rPr>
        <w:t>(c)</w:t>
        <w:tab/>
      </w:r>
      <w:r>
        <w:rPr>
          <w:rFonts w:cs="Times New Roman" w:ascii="Times New Roman" w:hAnsi="Times New Roman"/>
          <w:u w:val="single"/>
        </w:rPr>
        <w:t>Operational Flow Orders</w:t>
      </w:r>
      <w:r>
        <w:rPr>
          <w:rFonts w:cs="Times New Roman" w:ascii="Times New Roman" w:hAnsi="Times New Roman"/>
        </w:rPr>
        <w:t>.  Should either party receive an operational flow order (“</w:t>
      </w:r>
      <w:r>
        <w:rPr>
          <w:rFonts w:cs="Times New Roman" w:ascii="Times New Roman" w:hAnsi="Times New Roman"/>
          <w:u w:val="single"/>
        </w:rPr>
        <w:t>OFO</w:t>
      </w:r>
      <w:r>
        <w:rPr>
          <w:rFonts w:cs="Times New Roman" w:ascii="Times New Roman" w:hAnsi="Times New Roman"/>
        </w:rPr>
        <w:t>”) or other order or notice from a transporter requiring action to be taken in connection with this Agreement or Natural Gas flowing under this Agreement, Seller or Purchaser, as applicable, shall immediately notify the other party of the OFO and provide the other party a copy of same by facsimile.  The parties shall take all actions required by the OFO within the time prescribed therein.  Seller shall indemnify, defend and hold harmless Purchaser, and Purchaser shall indemnify, defend and hold harmless Seller,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spacing w:before="0" w:after="240"/>
        <w:ind w:firstLine="720" w:end="0"/>
        <w:rPr/>
      </w:pPr>
      <w:r>
        <w:rPr>
          <w:rFonts w:cs="Times New Roman" w:ascii="Times New Roman" w:hAnsi="Times New Roman"/>
        </w:rPr>
        <w:t>(d)</w:t>
        <w:tab/>
      </w:r>
      <w:r>
        <w:rPr>
          <w:rFonts w:cs="Times New Roman" w:ascii="Times New Roman" w:hAnsi="Times New Roman"/>
          <w:u w:val="single"/>
        </w:rPr>
        <w:t>Notice of Force Majeure Events</w:t>
      </w:r>
      <w:r>
        <w:rPr>
          <w:rFonts w:cs="Times New Roman" w:ascii="Times New Roman" w:hAnsi="Times New Roman"/>
        </w:rPr>
        <w:t>.  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Heading2"/>
        <w:rPr>
          <w:vanish/>
          <w:color w:val="FF0000"/>
        </w:rPr>
      </w:pPr>
      <w:bookmarkStart w:id="11" w:name="__RefHeading___Toc502545034"/>
      <w:bookmarkEnd w:id="11"/>
      <w:r>
        <w:rPr/>
        <w:t>2.07</w:t>
        <w:tab/>
      </w:r>
      <w:r>
        <w:rPr>
          <w:u w:val="single"/>
        </w:rPr>
        <w:t>Exclusive Remedy</w:t>
      </w:r>
    </w:p>
    <w:p>
      <w:pPr>
        <w:pStyle w:val="Normal"/>
        <w:spacing w:before="0" w:after="240"/>
        <w:rPr>
          <w:rFonts w:ascii="Times New Roman" w:hAnsi="Times New Roman" w:cs="Times New Roman"/>
        </w:rPr>
      </w:pPr>
      <w:r>
        <w:rPr>
          <w:rFonts w:cs="Times New Roman" w:ascii="Times New Roman" w:hAnsi="Times New Roman"/>
        </w:rPr>
        <w:t>.  It is expressly agreed that payments made in accordance with Sections 2.06, 5.01 and 5.03 shall constitute the exclusive damages available to Seller and Purchaser for nondelivery, nonacceptance, over-delivery or over-acceptance of Natural Gas.  To the fullest extent permitted by applicable law, neither Seller nor Purchaser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Heading2"/>
        <w:rPr>
          <w:vanish/>
          <w:color w:val="FF0000"/>
          <w:u w:val="single"/>
        </w:rPr>
      </w:pPr>
      <w:bookmarkStart w:id="12" w:name="__RefHeading___Toc502545035"/>
      <w:bookmarkEnd w:id="12"/>
      <w:r>
        <w:rPr/>
        <w:t>2.08</w:t>
        <w:tab/>
      </w:r>
      <w:r>
        <w:rPr>
          <w:u w:val="single"/>
        </w:rPr>
        <w:t>Possession, Title and Risk</w:t>
      </w:r>
    </w:p>
    <w:p>
      <w:pPr>
        <w:pStyle w:val="Normal"/>
        <w:spacing w:before="0" w:after="240"/>
        <w:rPr>
          <w:rFonts w:ascii="Times New Roman" w:hAnsi="Times New Roman" w:cs="Times New Roman"/>
        </w:rPr>
      </w:pPr>
      <w:r>
        <w:rPr>
          <w:rFonts w:cs="Times New Roman" w:ascii="Times New Roman" w:hAnsi="Times New Roman"/>
        </w:rPr>
        <w:t>.  Possession of and title to Natural Gas delivered pursuant hereto shall pass from Seller to Purchaser at the Delivery Points when the Natural Gas is accepted by the pipeline for transport for Purchaser’s account and is recorded by the proper metering device.  Until such time, Seller shall be deemed to be in control and possession of, have title to and be responsible for such Natural Gas and, after such time, Purchaser shall be deemed to be in control and possession of, have title to and be responsible for such Natural Gas.</w:t>
      </w:r>
    </w:p>
    <w:p>
      <w:pPr>
        <w:pStyle w:val="Heading2"/>
        <w:rPr>
          <w:vanish/>
          <w:color w:val="FF0000"/>
          <w:u w:val="single"/>
        </w:rPr>
      </w:pPr>
      <w:bookmarkStart w:id="13" w:name="__RefHeading___Toc502545036"/>
      <w:bookmarkEnd w:id="13"/>
      <w:r>
        <w:rPr/>
        <w:t>2.09</w:t>
        <w:tab/>
      </w:r>
      <w:r>
        <w:rPr>
          <w:u w:val="single"/>
        </w:rPr>
        <w:t>Royalties</w:t>
      </w:r>
    </w:p>
    <w:p>
      <w:pPr>
        <w:pStyle w:val="Normal"/>
        <w:spacing w:before="0" w:after="240"/>
        <w:rPr>
          <w:rFonts w:ascii="Times New Roman" w:hAnsi="Times New Roman" w:cs="Times New Roman"/>
        </w:rPr>
      </w:pPr>
      <w:r>
        <w:rPr>
          <w:rFonts w:cs="Times New Roman" w:ascii="Times New Roman" w:hAnsi="Times New Roman"/>
        </w:rPr>
        <w:t>.  Seller shall at all times have the obligation to make settlements for all royalties and payments to mineral and royalty owners and all other Persons having an ownership interest in the Natural Gas delivered by Seller to Purchaser hereunder and Seller hereby agrees to indemnify Purchaser and save it harmless from all suits, actions, debts, accounts, damages, costs, losses and expenses arising from or out of adverse claims of any and all Persons in respect of royalties, taxes, license fees or charges thereon that are applicable before the title passes to Purchaser or that may be levied and assessed upon Seller in respect of a sale of the Natural Gas to Purchaser.</w:t>
      </w:r>
    </w:p>
    <w:p>
      <w:pPr>
        <w:pStyle w:val="Heading2"/>
        <w:rPr>
          <w:vanish/>
          <w:color w:val="FF0000"/>
          <w:u w:val="single"/>
        </w:rPr>
      </w:pPr>
      <w:bookmarkStart w:id="14" w:name="__RefHeading___Toc502545037"/>
      <w:bookmarkEnd w:id="14"/>
      <w:r>
        <w:rPr/>
        <w:t>2.10</w:t>
        <w:tab/>
      </w:r>
      <w:r>
        <w:rPr>
          <w:u w:val="single"/>
        </w:rPr>
        <w:t>Taxes</w:t>
      </w:r>
    </w:p>
    <w:p>
      <w:pPr>
        <w:pStyle w:val="Normal"/>
        <w:spacing w:before="0" w:after="240"/>
        <w:ind w:firstLine="720" w:end="0"/>
        <w:rPr>
          <w:rFonts w:ascii="Times New Roman" w:hAnsi="Times New Roman" w:cs="Times New Roman"/>
        </w:rPr>
      </w:pPr>
      <w:r>
        <w:rPr>
          <w:rFonts w:cs="Times New Roman" w:ascii="Times New Roman" w:hAnsi="Times New Roman"/>
        </w:rPr>
        <w:t>.  Seller is liable for and shall pay, cause to be paid or reimburse Purchaser if Purchaser shall have paid, all Taxes applicable to the Natural Gas sold hereunder prior to the time title to the Natural Gas has passed to Purchaser, unless allocated to Purchaser as hereinafter provided.  Purchaser is liable for and shall pay, cause to be paid or reimburse Seller if Seller shall have paid all Taxes applicable to the Natural Gas sold hereunder at or after the time title to the Natural Gas has passed to Purchaser, applicable to the sale hereunder as a result of any subsequent sale or use of the Natural Gas by Purchaser, or imposed on or collected from Purchaser by law.  All parties shall use reasonable efforts to administer this Agreement and implement the provisions in accordance with their intent to minimize Taxes.  Purchaser represents that it is engaged in the business of reselling the Natural Gas delivered under this Agreement and Purchaser is purchasing the Natural Gas for resale to third parties, and accordingly Purchaser is entitled to purchase the Natural Gas hereunder free of any Taxes.  To the extent requested by the Seller, Purchaser shall provide Seller a certificate of exemption or other reasonably satisfactory evidence of exemption promptly after execution of this Agreement.  Each month during the term of this Agreement, Purchaser shall, to the extent requested by Seller, provide Seller appropriate evidence that the Required Delivery Quantity of Natural Gas was resold to a third party in accordance with the sale for resale exemption under applicable state law.  Seller and Purchaser, as applicable, agree to cooperate with obtaining any exemption from or reduction of Taxes upon request by Purchaser or Seller, as applicable.</w:t>
      </w:r>
    </w:p>
    <w:p>
      <w:pPr>
        <w:pStyle w:val="Heading2"/>
        <w:rPr>
          <w:vanish/>
          <w:color w:val="FF0000"/>
        </w:rPr>
      </w:pPr>
      <w:bookmarkStart w:id="15" w:name="__RefHeading___Toc502545038"/>
      <w:bookmarkEnd w:id="15"/>
      <w:r>
        <w:rPr/>
        <w:t>2.11</w:t>
        <w:tab/>
      </w:r>
      <w:r>
        <w:rPr>
          <w:u w:val="single"/>
        </w:rPr>
        <w:t>No Warranty</w:t>
      </w:r>
    </w:p>
    <w:p>
      <w:pPr>
        <w:pStyle w:val="Normal"/>
        <w:spacing w:before="0" w:after="240"/>
        <w:rPr>
          <w:rFonts w:ascii="Times New Roman" w:hAnsi="Times New Roman" w:cs="Times New Roman"/>
        </w:rPr>
      </w:pPr>
      <w:r>
        <w:rPr>
          <w:rFonts w:cs="Times New Roman" w:ascii="Times New Roman" w:hAnsi="Times New Roman"/>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Heading1"/>
        <w:ind w:hanging="0" w:start="0"/>
        <w:rPr>
          <w:rFonts w:ascii="Times New Roman" w:hAnsi="Times New Roman" w:cs="Times New Roman"/>
        </w:rPr>
      </w:pPr>
      <w:bookmarkStart w:id="16" w:name="__RefHeading___Toc502545039"/>
      <w:bookmarkEnd w:id="16"/>
      <w:r>
        <w:rPr>
          <w:rFonts w:cs="Times New Roman" w:ascii="Times New Roman" w:hAnsi="Times New Roman"/>
        </w:rPr>
        <w:t>ARTICLE III</w:t>
        <w:br/>
        <w:t>REPRESENTATIONS AND WARRANTEES</w:t>
      </w:r>
    </w:p>
    <w:p>
      <w:pPr>
        <w:pStyle w:val="Heading2"/>
        <w:keepNext w:val="true"/>
        <w:rPr>
          <w:vanish/>
          <w:color w:val="FF0000"/>
          <w:u w:val="single"/>
        </w:rPr>
      </w:pPr>
      <w:bookmarkStart w:id="17" w:name="__RefHeading___Toc502545040"/>
      <w:bookmarkEnd w:id="17"/>
      <w:r>
        <w:rPr/>
        <w:t>3.01</w:t>
        <w:tab/>
      </w:r>
      <w:r>
        <w:rPr>
          <w:u w:val="single"/>
        </w:rPr>
        <w:t>Representations and Warranties of Seller</w:t>
      </w:r>
    </w:p>
    <w:p>
      <w:pPr>
        <w:pStyle w:val="Normal"/>
        <w:keepNext w:val="true"/>
        <w:spacing w:before="0" w:after="240"/>
        <w:rPr>
          <w:rFonts w:ascii="Times New Roman" w:hAnsi="Times New Roman" w:cs="Times New Roman"/>
        </w:rPr>
      </w:pPr>
      <w:r>
        <w:rPr>
          <w:rFonts w:cs="Times New Roman" w:ascii="Times New Roman" w:hAnsi="Times New Roman"/>
        </w:rPr>
        <w:t>.  The Seller represents and warrants to Purchaser as follows:</w:t>
      </w:r>
    </w:p>
    <w:p>
      <w:pPr>
        <w:pStyle w:val="Normal"/>
        <w:spacing w:before="0" w:after="240"/>
        <w:ind w:firstLine="720" w:start="720" w:end="0"/>
        <w:rPr/>
      </w:pPr>
      <w:r>
        <w:rPr>
          <w:rFonts w:cs="Times New Roman" w:ascii="Times New Roman" w:hAnsi="Times New Roman"/>
        </w:rPr>
        <w:t>(a)</w:t>
        <w:tab/>
      </w:r>
      <w:r>
        <w:rPr>
          <w:rFonts w:cs="Times New Roman" w:ascii="Times New Roman" w:hAnsi="Times New Roman"/>
          <w:u w:val="single"/>
        </w:rPr>
        <w:t>Corporate Status and Authority</w:t>
      </w:r>
      <w:r>
        <w:rPr>
          <w:rFonts w:cs="Times New Roman" w:ascii="Times New Roman" w:hAnsi="Times New Roman"/>
        </w:rPr>
        <w:t>.  It is a corporation duly organized, validly existing and in good standing under the laws of Jersey, Channel Islands and has all requisite corporate power and authority to own its properties, to conduct its business as conducted at present and to execute, deliver and perform this Agreement.</w:t>
      </w:r>
    </w:p>
    <w:p>
      <w:pPr>
        <w:pStyle w:val="Normal"/>
        <w:spacing w:before="0" w:after="240"/>
        <w:ind w:firstLine="720" w:start="720" w:end="0"/>
        <w:rPr/>
      </w:pPr>
      <w:r>
        <w:rPr>
          <w:rFonts w:cs="Times New Roman" w:ascii="Times New Roman" w:hAnsi="Times New Roman"/>
        </w:rPr>
        <w:t>(b)</w:t>
        <w:tab/>
      </w:r>
      <w:r>
        <w:rPr>
          <w:rFonts w:cs="Times New Roman" w:ascii="Times New Roman" w:hAnsi="Times New Roman"/>
          <w:u w:val="single"/>
        </w:rPr>
        <w:t>Power and Authority</w:t>
      </w:r>
      <w:r>
        <w:rPr>
          <w:rFonts w:cs="Times New Roman" w:ascii="Times New Roman" w:hAnsi="Times New Roman"/>
        </w:rPr>
        <w:t>.  The execution, delivery and performance by it of this Agreement and the consummation of the transactions contemplated by this Agreement are within its corporate power and authority and have been duly authorized by all necessary corporate action.</w:t>
      </w:r>
    </w:p>
    <w:p>
      <w:pPr>
        <w:pStyle w:val="Normal"/>
        <w:spacing w:before="0" w:after="240"/>
        <w:ind w:firstLine="720" w:start="720" w:end="0"/>
        <w:rPr/>
      </w:pPr>
      <w:r>
        <w:rPr>
          <w:rFonts w:cs="Times New Roman" w:ascii="Times New Roman" w:hAnsi="Times New Roman"/>
        </w:rPr>
        <w:t>(c)</w:t>
        <w:tab/>
      </w:r>
      <w:r>
        <w:rPr>
          <w:rFonts w:cs="Times New Roman" w:ascii="Times New Roman" w:hAnsi="Times New Roman"/>
          <w:u w:val="single"/>
        </w:rPr>
        <w:t>Consents, Approvals, Etc.</w:t>
      </w:r>
      <w:r>
        <w:rPr>
          <w:rFonts w:cs="Times New Roman" w:ascii="Times New Roman" w:hAnsi="Times New Roman"/>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Purchaser.</w:t>
      </w:r>
    </w:p>
    <w:p>
      <w:pPr>
        <w:pStyle w:val="Normal"/>
        <w:spacing w:before="0" w:after="240"/>
        <w:ind w:firstLine="720" w:start="720" w:end="0"/>
        <w:rPr/>
      </w:pPr>
      <w:r>
        <w:rPr>
          <w:rFonts w:cs="Times New Roman" w:ascii="Times New Roman" w:hAnsi="Times New Roman"/>
        </w:rPr>
        <w:t>(d)</w:t>
        <w:tab/>
      </w:r>
      <w:r>
        <w:rPr>
          <w:rFonts w:cs="Times New Roman" w:ascii="Times New Roman" w:hAnsi="Times New Roman"/>
          <w:u w:val="single"/>
        </w:rPr>
        <w:t>Execution and Delivery</w:t>
      </w:r>
      <w:r>
        <w:rPr>
          <w:rFonts w:cs="Times New Roman" w:ascii="Times New Roman" w:hAnsi="Times New Roman"/>
        </w:rPr>
        <w:t>.  This Agreement has been duly executed and delivered to Purchaser by the Seller and is the legal, valid and binding obligation of the Seller enforceable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spacing w:before="0" w:after="240"/>
        <w:ind w:firstLine="720" w:start="720" w:end="0"/>
        <w:rPr/>
      </w:pPr>
      <w:r>
        <w:rPr>
          <w:rFonts w:cs="Times New Roman" w:ascii="Times New Roman" w:hAnsi="Times New Roman"/>
        </w:rPr>
        <w:t>(e)</w:t>
        <w:tab/>
      </w:r>
      <w:r>
        <w:rPr>
          <w:rFonts w:cs="Times New Roman" w:ascii="Times New Roman" w:hAnsi="Times New Roman"/>
          <w:u w:val="single"/>
        </w:rPr>
        <w:t>Compliance with Laws</w:t>
      </w:r>
      <w:r>
        <w:rPr>
          <w:rFonts w:cs="Times New Roman" w:ascii="Times New Roman" w:hAnsi="Times New Roman"/>
        </w:rPr>
        <w:t>.  Neither the execution, delivery and performance by the Seller of this Agreement nor the consummation of the transactions contemplated by this Agreement (i) does or will violate any provision of any Applicable Instrument of the Seller or any Governmental Requirement or (ii) does or will result in or require the creation or imposition of any lien on any properties, assets or revenues of the Seller.  The Seller is in compliance in all material respects with its Applicable Instruments and all Governmental Requirements applicable to the Seller.</w:t>
      </w:r>
    </w:p>
    <w:p>
      <w:pPr>
        <w:pStyle w:val="Normal"/>
        <w:spacing w:before="0" w:after="240"/>
        <w:ind w:firstLine="720" w:start="720" w:end="0"/>
        <w:rPr/>
      </w:pPr>
      <w:r>
        <w:rPr>
          <w:rFonts w:cs="Times New Roman" w:ascii="Times New Roman" w:hAnsi="Times New Roman"/>
        </w:rPr>
        <w:t>(f)</w:t>
        <w:tab/>
      </w:r>
      <w:r>
        <w:rPr>
          <w:rFonts w:cs="Times New Roman" w:ascii="Times New Roman" w:hAnsi="Times New Roman"/>
          <w:u w:val="single"/>
        </w:rPr>
        <w:t>Ownership of Natural Gas</w:t>
      </w:r>
      <w:r>
        <w:rPr>
          <w:rFonts w:cs="Times New Roman" w:ascii="Times New Roman" w:hAnsi="Times New Roman"/>
        </w:rPr>
        <w:t>.  The Natural Gas to be delivered by the Seller to Purchaser hereunder shall be delivered to Purchaser with good and marketable title thereto, free and clear of all liens, encumbrances or any other adverse claims whatsoever, including taxes and royalties for which Seller is responsible under Sections 2.09 and 2.10.</w:t>
      </w:r>
    </w:p>
    <w:p>
      <w:pPr>
        <w:pStyle w:val="Heading2"/>
        <w:keepNext w:val="true"/>
        <w:rPr>
          <w:vanish/>
          <w:color w:val="FF0000"/>
          <w:u w:val="single"/>
        </w:rPr>
      </w:pPr>
      <w:bookmarkStart w:id="18" w:name="__RefHeading___Toc502545041"/>
      <w:bookmarkEnd w:id="18"/>
      <w:r>
        <w:rPr/>
        <w:t>3.02</w:t>
        <w:tab/>
      </w:r>
      <w:r>
        <w:rPr>
          <w:u w:val="single"/>
        </w:rPr>
        <w:t>Representations and Warranties of Purchaser</w:t>
      </w:r>
    </w:p>
    <w:p>
      <w:pPr>
        <w:pStyle w:val="Normal"/>
        <w:keepNext w:val="true"/>
        <w:spacing w:before="0" w:after="240"/>
        <w:rPr>
          <w:rFonts w:ascii="Times New Roman" w:hAnsi="Times New Roman" w:cs="Times New Roman"/>
        </w:rPr>
      </w:pPr>
      <w:r>
        <w:rPr>
          <w:rFonts w:cs="Times New Roman" w:ascii="Times New Roman" w:hAnsi="Times New Roman"/>
        </w:rPr>
        <w:t>.  Purchaser represents and warrants to the Seller as follows:</w:t>
      </w:r>
    </w:p>
    <w:p>
      <w:pPr>
        <w:pStyle w:val="Normal"/>
        <w:spacing w:before="0" w:after="240"/>
        <w:ind w:firstLine="720" w:start="720" w:end="0"/>
        <w:rPr/>
      </w:pPr>
      <w:r>
        <w:rPr>
          <w:rFonts w:cs="Times New Roman" w:ascii="Times New Roman" w:hAnsi="Times New Roman"/>
        </w:rPr>
        <w:t>(a)</w:t>
        <w:tab/>
      </w:r>
      <w:r>
        <w:rPr>
          <w:rFonts w:cs="Times New Roman" w:ascii="Times New Roman" w:hAnsi="Times New Roman"/>
          <w:u w:val="single"/>
        </w:rPr>
        <w:t>Corporate Status and Authority</w:t>
      </w:r>
      <w:r>
        <w:rPr>
          <w:rFonts w:cs="Times New Roman" w:ascii="Times New Roman" w:hAnsi="Times New Roman"/>
        </w:rPr>
        <w:t>.  Purchaser is duly organized under the law of its jurisdiction of organization and has all necessary power and authority to carry on its business as now being conducted by it.  Purchaser has full power and authority to enter into this Agreement and to do all acts and things and execute and deliver all other documents as are required hereunder to be done, observed or performed by it in accordance with the terms hereof.</w:t>
      </w:r>
    </w:p>
    <w:p>
      <w:pPr>
        <w:pStyle w:val="Normal"/>
        <w:spacing w:before="0" w:after="240"/>
        <w:ind w:firstLine="720" w:start="720" w:end="0"/>
        <w:rPr/>
      </w:pPr>
      <w:r>
        <w:rPr>
          <w:rFonts w:cs="Times New Roman" w:ascii="Times New Roman" w:hAnsi="Times New Roman"/>
        </w:rPr>
        <w:t>(b)</w:t>
        <w:tab/>
      </w:r>
      <w:r>
        <w:rPr>
          <w:rFonts w:cs="Times New Roman" w:ascii="Times New Roman" w:hAnsi="Times New Roman"/>
          <w:u w:val="single"/>
        </w:rPr>
        <w:t>Valid Authority</w:t>
      </w:r>
      <w:r>
        <w:rPr>
          <w:rFonts w:cs="Times New Roman" w:ascii="Times New Roman" w:hAnsi="Times New Roman"/>
        </w:rPr>
        <w:t>.  Purchaser has taken all necessary action to authorize the creation, execution, delivery and performance by it of this Agreement and for it to observe and perform the provisions of this Agreement in accordance with its terms.</w:t>
      </w:r>
    </w:p>
    <w:p>
      <w:pPr>
        <w:pStyle w:val="Normal"/>
        <w:spacing w:before="0" w:after="240"/>
        <w:ind w:firstLine="720" w:start="720" w:end="0"/>
        <w:rPr/>
      </w:pPr>
      <w:r>
        <w:rPr>
          <w:rFonts w:cs="Times New Roman" w:ascii="Times New Roman" w:hAnsi="Times New Roman"/>
        </w:rPr>
        <w:t>(c)</w:t>
        <w:tab/>
      </w:r>
      <w:r>
        <w:rPr>
          <w:rFonts w:cs="Times New Roman" w:ascii="Times New Roman" w:hAnsi="Times New Roman"/>
          <w:u w:val="single"/>
        </w:rPr>
        <w:t>Validity of Documents and Enforceability</w:t>
      </w:r>
      <w:r>
        <w:rPr>
          <w:rFonts w:cs="Times New Roman" w:ascii="Times New Roman" w:hAnsi="Times New Roman"/>
        </w:rPr>
        <w:t>.  This Agreement constitutes a valid and legally binding obligation of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Purchaser (i) does or will result in a violation of the terms of any Applicable Instrument of Purchaser or any Governmental Requirement, or (ii) requires any approval or consent of any governmental authority or agency having jurisdiction except such as has already been obtained.</w:t>
      </w:r>
    </w:p>
    <w:p>
      <w:pPr>
        <w:pStyle w:val="Heading1"/>
        <w:ind w:hanging="0" w:start="0"/>
        <w:rPr>
          <w:rFonts w:ascii="Times New Roman" w:hAnsi="Times New Roman" w:cs="Times New Roman"/>
        </w:rPr>
      </w:pPr>
      <w:bookmarkStart w:id="19" w:name="__RefHeading___Toc502545042"/>
      <w:bookmarkEnd w:id="19"/>
      <w:r>
        <w:rPr>
          <w:rFonts w:cs="Times New Roman" w:ascii="Times New Roman" w:hAnsi="Times New Roman"/>
        </w:rPr>
        <w:t>ARTICLE IV</w:t>
        <w:br/>
        <w:t>COVENANTS</w:t>
      </w:r>
    </w:p>
    <w:p>
      <w:pPr>
        <w:pStyle w:val="Heading2"/>
        <w:keepNext w:val="true"/>
        <w:rPr>
          <w:vanish/>
          <w:color w:val="FF0000"/>
          <w:u w:val="single"/>
        </w:rPr>
      </w:pPr>
      <w:bookmarkStart w:id="20" w:name="__RefHeading___Toc502545043"/>
      <w:bookmarkEnd w:id="20"/>
      <w:r>
        <w:rPr/>
        <w:t>4.01</w:t>
        <w:tab/>
      </w:r>
      <w:r>
        <w:rPr>
          <w:u w:val="single"/>
        </w:rPr>
        <w:t>Affirmative Covenants of Seller</w:t>
      </w:r>
    </w:p>
    <w:p>
      <w:pPr>
        <w:pStyle w:val="Normal"/>
        <w:keepNext w:val="true"/>
        <w:spacing w:before="0" w:after="240"/>
        <w:rPr>
          <w:rFonts w:ascii="Times New Roman" w:hAnsi="Times New Roman" w:cs="Times New Roman"/>
        </w:rPr>
      </w:pPr>
      <w:r>
        <w:rPr>
          <w:rFonts w:cs="Times New Roman" w:ascii="Times New Roman" w:hAnsi="Times New Roman"/>
        </w:rPr>
        <w:t>.  The Seller covenants and agrees with Purchaser that so long as any obligation of the Seller to deliver Natural Gas or to make any payment is outstanding hereunder:</w:t>
      </w:r>
    </w:p>
    <w:p>
      <w:pPr>
        <w:pStyle w:val="Normal"/>
        <w:spacing w:before="0" w:after="240"/>
        <w:ind w:firstLine="720" w:start="720" w:end="0"/>
        <w:rPr/>
      </w:pPr>
      <w:r>
        <w:rPr>
          <w:rFonts w:cs="Times New Roman" w:ascii="Times New Roman" w:hAnsi="Times New Roman"/>
        </w:rPr>
        <w:t>(a)</w:t>
        <w:tab/>
      </w:r>
      <w:r>
        <w:rPr>
          <w:rFonts w:cs="Times New Roman" w:ascii="Times New Roman" w:hAnsi="Times New Roman"/>
          <w:u w:val="single"/>
        </w:rPr>
        <w:t>Compliance with Laws, etc.</w:t>
      </w:r>
      <w:r>
        <w:rPr>
          <w:rFonts w:cs="Times New Roman" w:ascii="Times New Roman" w:hAnsi="Times New Roman"/>
        </w:rPr>
        <w:t xml:space="preserve">  The Seller will comply with all Governmental Requirements applicable to the performance of the Seller’s obligations hereunder, except where noncompliance therewith would not have a material adverse effect on the Seller.  The Seller will comply in all material respects with its Applicable Instruments.</w:t>
      </w:r>
    </w:p>
    <w:p>
      <w:pPr>
        <w:pStyle w:val="Normal"/>
        <w:spacing w:before="0" w:after="240"/>
        <w:ind w:firstLine="720" w:start="720" w:end="0"/>
        <w:rPr/>
      </w:pPr>
      <w:r>
        <w:rPr>
          <w:rFonts w:cs="Times New Roman" w:ascii="Times New Roman" w:hAnsi="Times New Roman"/>
        </w:rPr>
        <w:t>(b)</w:t>
        <w:tab/>
      </w:r>
      <w:r>
        <w:rPr>
          <w:rFonts w:cs="Times New Roman" w:ascii="Times New Roman" w:hAnsi="Times New Roman"/>
          <w:u w:val="single"/>
        </w:rPr>
        <w:t>Maintenance of Corporate Existence</w:t>
      </w:r>
      <w:r>
        <w:rPr>
          <w:rFonts w:cs="Times New Roman" w:ascii="Times New Roman" w:hAnsi="Times New Roman"/>
        </w:rPr>
        <w:t>.  The Seller will maintain its corporate existence.</w:t>
      </w:r>
    </w:p>
    <w:p>
      <w:pPr>
        <w:pStyle w:val="Normal"/>
        <w:spacing w:before="0" w:after="240"/>
        <w:ind w:firstLine="720" w:start="720" w:end="0"/>
        <w:rPr/>
      </w:pPr>
      <w:r>
        <w:rPr>
          <w:rFonts w:cs="Times New Roman" w:ascii="Times New Roman" w:hAnsi="Times New Roman"/>
        </w:rPr>
        <w:t>(c)</w:t>
        <w:tab/>
      </w:r>
      <w:r>
        <w:rPr>
          <w:rFonts w:cs="Times New Roman" w:ascii="Times New Roman" w:hAnsi="Times New Roman"/>
          <w:u w:val="single"/>
        </w:rPr>
        <w:t>Notice of Certain Events</w:t>
      </w:r>
      <w:r>
        <w:rPr>
          <w:rFonts w:cs="Times New Roman" w:ascii="Times New Roman" w:hAnsi="Times New Roman"/>
        </w:rPr>
        <w:t>.  The Seller shall notify Purchaser of the occurrence of any event which with the passage of time or the giving of notice, or both, would be an Event of Default, or an Event of Change hereunder, promptly after becoming aware of the same.</w:t>
      </w:r>
    </w:p>
    <w:p>
      <w:pPr>
        <w:pStyle w:val="Normal"/>
        <w:spacing w:before="0" w:after="240"/>
        <w:ind w:firstLine="720" w:start="720" w:end="0"/>
        <w:rPr/>
      </w:pPr>
      <w:r>
        <w:rPr>
          <w:rFonts w:cs="Times New Roman" w:ascii="Times New Roman" w:hAnsi="Times New Roman"/>
        </w:rPr>
        <w:t>(d)</w:t>
        <w:tab/>
      </w:r>
      <w:r>
        <w:rPr>
          <w:rFonts w:cs="Times New Roman" w:ascii="Times New Roman" w:hAnsi="Times New Roman"/>
          <w:u w:val="single"/>
        </w:rPr>
        <w:t>Qualification</w:t>
      </w:r>
      <w:r>
        <w:rPr>
          <w:rFonts w:cs="Times New Roman" w:ascii="Times New Roman" w:hAnsi="Times New Roman"/>
        </w:rPr>
        <w:t>.  The Seller will be duly qualified to do business as a foreign corporation and will be in good standing under the laws of all jurisdictions in which the failure to be so qualified could have a material adverse effect on the Seller by or before the first Delivery Month.</w:t>
      </w:r>
    </w:p>
    <w:p>
      <w:pPr>
        <w:pStyle w:val="Heading1"/>
        <w:ind w:hanging="0" w:start="0"/>
        <w:rPr/>
      </w:pPr>
      <w:bookmarkStart w:id="21" w:name="__RefHeading___Toc502545044"/>
      <w:bookmarkEnd w:id="21"/>
      <w:r>
        <w:rPr>
          <w:rFonts w:cs="Times New Roman" w:ascii="Times New Roman" w:hAnsi="Times New Roman"/>
        </w:rPr>
        <w:t>ARTICLE V</w:t>
        <w:br/>
        <w:t>EVENTS OF DEFAULT AND EARLY TERMINATION</w:t>
      </w:r>
    </w:p>
    <w:p>
      <w:pPr>
        <w:pStyle w:val="Normal"/>
        <w:spacing w:before="0" w:after="240"/>
        <w:ind w:firstLine="720" w:start="720" w:end="0"/>
        <w:rPr/>
      </w:pPr>
      <w:bookmarkStart w:id="22" w:name="__RefHeading___Toc502545046"/>
      <w:r>
        <w:rPr>
          <w:rFonts w:cs="Times New Roman" w:ascii="Times New Roman" w:hAnsi="Times New Roman"/>
        </w:rPr>
        <w:t>5.01</w:t>
        <w:tab/>
      </w:r>
      <w:r>
        <w:rPr>
          <w:rFonts w:cs="Times New Roman" w:ascii="Times New Roman" w:hAnsi="Times New Roman"/>
          <w:u w:val="single"/>
        </w:rPr>
        <w:t>Events of Default</w:t>
      </w:r>
      <w:r>
        <w:rPr>
          <w:rFonts w:cs="Times New Roman" w:ascii="Times New Roman" w:hAnsi="Times New Roman"/>
        </w:rPr>
        <w:t>.  Each of the following events shall constitute an "Event of Default" hereunder:</w:t>
      </w:r>
    </w:p>
    <w:p>
      <w:pPr>
        <w:pStyle w:val="Normal"/>
        <w:spacing w:before="0" w:after="240"/>
        <w:ind w:firstLine="720" w:start="720" w:end="0"/>
        <w:rPr>
          <w:rFonts w:ascii="Times New Roman" w:hAnsi="Times New Roman" w:cs="Times New Roman"/>
        </w:rPr>
      </w:pPr>
      <w:r>
        <w:rPr>
          <w:rFonts w:cs="Times New Roman" w:ascii="Times New Roman" w:hAnsi="Times New Roman"/>
        </w:rPr>
        <w:t>(a)</w:t>
        <w:tab/>
        <w:t>the Seller shall fail (unless caused by Force Majeure or Purchaser’s failure to accept delivery) to deliver the Required Delivery Quantity of Natural Gas to the Delivery Point in accordance with the terms of this Agreement and such unexcused failure continues after notice thereof has been given to the Seller by Purchaser for a period of 30 or more days during a 12 month period; or</w:t>
      </w:r>
    </w:p>
    <w:p>
      <w:pPr>
        <w:pStyle w:val="Normal"/>
        <w:spacing w:before="0" w:after="240"/>
        <w:ind w:firstLine="720" w:start="720" w:end="0"/>
        <w:rPr>
          <w:rFonts w:ascii="Times New Roman" w:hAnsi="Times New Roman" w:cs="Times New Roman"/>
        </w:rPr>
      </w:pPr>
      <w:r>
        <w:rPr>
          <w:rFonts w:cs="Times New Roman" w:ascii="Times New Roman" w:hAnsi="Times New Roman"/>
        </w:rPr>
        <w:t>(b)</w:t>
        <w:tab/>
        <w:t>the Seller or Purchaser, as the case may be, shall fail to pay any amounts due to the other party in accordance with the terms of Section 2.06 of this Agreement and such failure is not remedied within one Business Day after notice of such failure is given to Seller or Purchaser, as the case may be; or</w:t>
      </w:r>
    </w:p>
    <w:p>
      <w:pPr>
        <w:pStyle w:val="Normal"/>
        <w:spacing w:before="0" w:after="240"/>
        <w:ind w:firstLine="720" w:start="720" w:end="0"/>
        <w:rPr>
          <w:rFonts w:ascii="Times New Roman" w:hAnsi="Times New Roman" w:cs="Times New Roman"/>
        </w:rPr>
      </w:pPr>
      <w:r>
        <w:rPr>
          <w:rFonts w:cs="Times New Roman" w:ascii="Times New Roman" w:hAnsi="Times New Roman"/>
        </w:rPr>
        <w:t>(c)</w:t>
        <w:tab/>
        <w:t>the Seller or Purchaser, as the case may be, shall fail to perform or observe any material term, covenant or agreement herein contained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or Purchaser, as the case may be; or</w:t>
      </w:r>
    </w:p>
    <w:p>
      <w:pPr>
        <w:pStyle w:val="Normal"/>
        <w:spacing w:before="0" w:after="240"/>
        <w:ind w:firstLine="720" w:start="720" w:end="0"/>
        <w:rPr>
          <w:rFonts w:ascii="Times New Roman" w:hAnsi="Times New Roman" w:cs="Times New Roman"/>
        </w:rPr>
      </w:pPr>
      <w:r>
        <w:rPr>
          <w:rFonts w:cs="Times New Roman" w:ascii="Times New Roman" w:hAnsi="Times New Roman"/>
        </w:rPr>
        <w:t>(d)</w:t>
        <w:tab/>
        <w:t>the Seller or Purchaser shall generally not pay its debts as such debts become due, or shall admit in writing its inability to pay its debts generally, or shall make a general assignment for the benefit of creditors; or any proceeding shall be instituted by or against such party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such party shall take any corporate action to authorize any of the actions set forth above in this subsection (d); or</w:t>
      </w:r>
    </w:p>
    <w:p>
      <w:pPr>
        <w:pStyle w:val="Normal"/>
        <w:spacing w:before="0" w:after="240"/>
        <w:ind w:firstLine="720" w:start="720" w:end="0"/>
        <w:rPr>
          <w:rFonts w:ascii="Times New Roman" w:hAnsi="Times New Roman" w:cs="Times New Roman"/>
        </w:rPr>
      </w:pPr>
      <w:r>
        <w:rPr>
          <w:rFonts w:cs="Times New Roman" w:ascii="Times New Roman" w:hAnsi="Times New Roman"/>
        </w:rPr>
        <w:t>(e)</w:t>
        <w:tab/>
        <w:t>any representation or warranty made by either party in this Agreement shall prove to have been incorrect in any material respect when made or when deemed made.</w:t>
      </w:r>
    </w:p>
    <w:p>
      <w:pPr>
        <w:pStyle w:val="Normal"/>
        <w:spacing w:before="0" w:after="240"/>
        <w:ind w:firstLine="720" w:start="720" w:end="0"/>
        <w:rPr>
          <w:rFonts w:ascii="Times New Roman" w:hAnsi="Times New Roman" w:cs="Times New Roman"/>
        </w:rPr>
      </w:pPr>
      <w:r>
        <w:rPr>
          <w:rFonts w:cs="Times New Roman" w:ascii="Times New Roman" w:hAnsi="Times New Roman"/>
        </w:rPr>
        <w:t>(f)</w:t>
        <w:tab/>
        <w:t>either party shall fail to deliver Margin (as defined in the Margin Agreement) in accordance with the Margin Agreement and such failure is not remedied within one Business Day after notice of such failure is given; or</w:t>
      </w:r>
    </w:p>
    <w:p>
      <w:pPr>
        <w:pStyle w:val="Normal"/>
        <w:spacing w:before="0" w:after="240"/>
        <w:ind w:firstLine="720" w:start="720" w:end="0"/>
        <w:rPr>
          <w:rFonts w:ascii="Times New Roman" w:hAnsi="Times New Roman" w:cs="Times New Roman"/>
        </w:rPr>
      </w:pPr>
      <w:r>
        <w:rPr>
          <w:rFonts w:cs="Times New Roman" w:ascii="Times New Roman" w:hAnsi="Times New Roman"/>
        </w:rPr>
        <w:t>(g)</w:t>
        <w:tab/>
        <w:t>either party shall fail to perform or observe any term, covenant or agreement (other than its obligation to deliver Margin) contained in the Margin Agreement on its part to be performed or observed and such failure is not remedied within 30 days after notice of such failure is given.</w:t>
      </w:r>
    </w:p>
    <w:p>
      <w:pPr>
        <w:pStyle w:val="Normal"/>
        <w:spacing w:before="0" w:after="240"/>
        <w:rPr/>
      </w:pPr>
      <w:r>
        <w:rPr>
          <w:rFonts w:cs="Times New Roman" w:ascii="Times New Roman" w:hAnsi="Times New Roman"/>
        </w:rPr>
        <w:tab/>
        <w:t>5.02</w:t>
        <w:tab/>
      </w:r>
      <w:r>
        <w:rPr>
          <w:rFonts w:cs="Times New Roman" w:ascii="Times New Roman" w:hAnsi="Times New Roman"/>
          <w:u w:val="single"/>
        </w:rPr>
        <w:t>Early Termination</w:t>
      </w:r>
      <w:r>
        <w:rPr>
          <w:rFonts w:cs="Times New Roman" w:ascii="Times New Roman" w:hAnsi="Times New Roman"/>
        </w:rPr>
        <w:t>.  If, at any time, an Event of Default has occurred and is continuing with respect to a party (the “Defaulting Party”), the other party may, by not more than 20 days notice to the Defaulting Party specifying the relevant Event of Default, designate a day not earlier than the day such notice is effective as an early termination date (“Early Termination Date”); provided, however, that if an Event of Default pursuant to paragraph 5.01(d) shall have occurred, the Early Termination Date shall occur immediately on the occurrence of such Event of Default.  Upon the designation or occurrence of an Early Termination Date, (a) the obligation of Seller to make any further deliveries of Natural Gas to Purchaser hereunder and of Purchaser to make any further payments to Seller hereunder, will terminate, without prejudice to the other provisions of this Agreement and (b) Purchaser will pay to Seller the Termination Payment as calculated in Section 5.03 below, if such number is a positive number; if the number resulting from such calculation is a negative number, Seller shall pay to Purchaser the absolute value of such Termination Payment.</w:t>
      </w:r>
    </w:p>
    <w:p>
      <w:pPr>
        <w:pStyle w:val="Heading2"/>
        <w:rPr/>
      </w:pPr>
      <w:r>
        <w:rPr/>
        <w:t>5.03</w:t>
        <w:tab/>
      </w:r>
      <w:r>
        <w:rPr>
          <w:u w:val="single"/>
        </w:rPr>
        <w:t>Calculation of Termination Payment</w:t>
      </w:r>
      <w:bookmarkEnd w:id="22"/>
    </w:p>
    <w:p>
      <w:pPr>
        <w:pStyle w:val="Normal"/>
        <w:spacing w:before="0" w:after="240"/>
        <w:ind w:firstLine="720" w:end="0"/>
        <w:rPr/>
      </w:pPr>
      <w:r>
        <w:rPr>
          <w:rFonts w:cs="Times New Roman" w:ascii="Times New Roman" w:hAnsi="Times New Roman"/>
        </w:rPr>
        <w:t>(a)</w:t>
        <w:tab/>
      </w:r>
      <w:r>
        <w:rPr>
          <w:rFonts w:cs="Times New Roman" w:ascii="Times New Roman" w:hAnsi="Times New Roman"/>
          <w:u w:val="single"/>
        </w:rPr>
        <w:t>Termination Payment</w:t>
      </w:r>
      <w:r>
        <w:rPr>
          <w:rFonts w:cs="Times New Roman" w:ascii="Times New Roman" w:hAnsi="Times New Roman"/>
        </w:rPr>
        <w:t>.  The Termination Payment for any Termination Date shall be as defined below:</w:t>
      </w:r>
    </w:p>
    <w:p>
      <w:pPr>
        <w:pStyle w:val="Normal"/>
        <w:spacing w:before="0" w:after="240"/>
        <w:ind w:firstLine="720" w:start="720" w:end="0"/>
        <w:rPr/>
      </w:pPr>
      <w:r>
        <w:rPr>
          <w:rFonts w:cs="Times New Roman" w:ascii="Times New Roman" w:hAnsi="Times New Roman"/>
        </w:rPr>
        <w:t xml:space="preserve"> “</w:t>
      </w:r>
      <w:r>
        <w:rPr>
          <w:rFonts w:cs="Times New Roman" w:ascii="Times New Roman" w:hAnsi="Times New Roman"/>
          <w:u w:val="single"/>
        </w:rPr>
        <w:t>Termination Payment</w:t>
      </w:r>
      <w:r>
        <w:rPr>
          <w:rFonts w:cs="Times New Roman" w:ascii="Times New Roman" w:hAnsi="Times New Roman"/>
        </w:rPr>
        <w:t xml:space="preserve">” means the amount equal to (i) the amount that would have been paid by the Purchaser to the Seller over the remaining term of this Agreement had it not been terminated for the quantities and prices stated on Exhibit A, discounted at the Discount Factor, plus any associated costs and attorney’s fees, </w:t>
      </w:r>
      <w:r>
        <w:rPr>
          <w:rFonts w:cs="Times New Roman" w:ascii="Times New Roman" w:hAnsi="Times New Roman"/>
          <w:u w:val="single"/>
        </w:rPr>
        <w:t>minus</w:t>
      </w:r>
      <w:r>
        <w:rPr>
          <w:rFonts w:cs="Times New Roman" w:ascii="Times New Roman" w:hAnsi="Times New Roman"/>
        </w:rPr>
        <w:t xml:space="preserve"> (ii) the amount that would be paid in the market under a replacement contract for the equivalent quantities.</w:t>
      </w:r>
    </w:p>
    <w:p>
      <w:pPr>
        <w:pStyle w:val="Normal"/>
        <w:spacing w:before="0" w:after="240"/>
        <w:ind w:firstLine="720" w:start="720" w:end="0"/>
        <w:rPr/>
      </w:pPr>
      <w:r>
        <w:rPr>
          <w:rFonts w:cs="Times New Roman" w:ascii="Times New Roman" w:hAnsi="Times New Roman"/>
        </w:rPr>
        <w:t>“</w:t>
      </w:r>
      <w:r>
        <w:rPr>
          <w:rFonts w:cs="Times New Roman" w:ascii="Times New Roman" w:hAnsi="Times New Roman"/>
          <w:u w:val="single"/>
        </w:rPr>
        <w:t>Discount Factor</w:t>
      </w:r>
      <w:r>
        <w:rPr>
          <w:rFonts w:cs="Times New Roman" w:ascii="Times New Roman" w:hAnsi="Times New Roman"/>
        </w:rPr>
        <w:t>” means the discount factor or factors used by the Reference Dealers in determining the present market value of similar Natural Gas forward sale contracts with similar quantities and terms.</w:t>
      </w:r>
    </w:p>
    <w:p>
      <w:pPr>
        <w:pStyle w:val="Normal"/>
        <w:spacing w:before="0" w:after="240"/>
        <w:ind w:firstLine="720" w:end="0"/>
        <w:rPr/>
      </w:pPr>
      <w:r>
        <w:rPr>
          <w:rFonts w:cs="Times New Roman" w:ascii="Times New Roman" w:hAnsi="Times New Roman"/>
        </w:rPr>
        <w:t>(b)</w:t>
        <w:tab/>
      </w:r>
      <w:r>
        <w:rPr>
          <w:rFonts w:cs="Times New Roman" w:ascii="Times New Roman" w:hAnsi="Times New Roman"/>
          <w:u w:val="single"/>
        </w:rPr>
        <w:t>Calculation of Termination Amount</w:t>
      </w:r>
      <w:r>
        <w:rPr>
          <w:rFonts w:cs="Times New Roman" w:ascii="Times New Roman" w:hAnsi="Times New Roman"/>
        </w:rPr>
        <w:t>.  On or as soon as reasonably practicable following the occurrence of a Termination Date, the Seller will calculate the Termination Payment and will provide Purchaser with a statement (i) showing, in reasonable detail, such calculations (including all relevant quotations and discount rates) and (ii) giving details of the relevant account to which the Termination Payment is payable.  Any such statement shall, absent manifest error, be conclusive evidence of the amount due in respect of the Termination Payment.</w:t>
      </w:r>
    </w:p>
    <w:p>
      <w:pPr>
        <w:pStyle w:val="Heading2"/>
        <w:rPr>
          <w:vanish/>
          <w:color w:val="FF0000"/>
        </w:rPr>
      </w:pPr>
      <w:bookmarkStart w:id="23" w:name="__RefHeading___Toc502545047"/>
      <w:bookmarkEnd w:id="23"/>
      <w:r>
        <w:rPr/>
        <w:t>5.04</w:t>
        <w:tab/>
      </w:r>
      <w:r>
        <w:rPr>
          <w:u w:val="single"/>
        </w:rPr>
        <w:t>Purchaser’s Failure to Accept Delivery</w:t>
      </w:r>
    </w:p>
    <w:p>
      <w:pPr>
        <w:pStyle w:val="Normal"/>
        <w:spacing w:before="0" w:after="240"/>
        <w:rPr>
          <w:rFonts w:ascii="Times New Roman" w:hAnsi="Times New Roman" w:cs="Times New Roman"/>
        </w:rPr>
      </w:pPr>
      <w:r>
        <w:rPr>
          <w:rFonts w:cs="Times New Roman" w:ascii="Times New Roman" w:hAnsi="Times New Roman"/>
        </w:rPr>
        <w:t>.  If, other than as a result of an event of Force Majeure, Purchaser defaults in its obligation to accept delivery of and to pay for all or any part of the Required Delivery Quantity in respect of a Delivery Month at the Delivery Point, then Seller shall be entitled to sell the Deficiency Quantity to another buyer at fair market value.  If the proceeds to Seller from a sale of any Deficiency Quantity to a third party, after subtracting any additional transportation and other costs and expenses incurred by Seller in connection with the sale of such Deficiency Quantity, are less than the product of (i) the Deficiency Quantity and (ii) the Contract Price (together with interest at a rate per annum equal to the U.S. Base Rate plus one and one-half percent per annum on the basis of the actual number of days elapsed and a year of 365 or 366 days, as the case may be, for each day that such default by Purchaser shall have been continuing), Purchaser shall be obligated to pay Seller any such difference.  Where Purchaser defaults in its acceptance obligation as aforesaid, Seller shall use all reasonable efforts to maximize the price received for any Deficiency Quantity and Seller shall prepare and deliver to Purchaser, within five Business Days after the end of the applicable Delivery Month, a certificate setting out the price received, less any additional transportation and other costs and expenses incurred by Seller in connection with such sale, accompanied by reasonably available back-up documentation therefor.  Any such certificate shall, absent manifest error, be conclusive evidence of the amount due in respect of such default.</w:t>
      </w:r>
    </w:p>
    <w:p>
      <w:pPr>
        <w:pStyle w:val="Heading1"/>
        <w:keepLines/>
        <w:ind w:hanging="0" w:start="0"/>
        <w:rPr>
          <w:rFonts w:ascii="Times New Roman" w:hAnsi="Times New Roman" w:cs="Times New Roman"/>
        </w:rPr>
      </w:pPr>
      <w:bookmarkStart w:id="24" w:name="__RefHeading___Toc502545048"/>
      <w:bookmarkEnd w:id="24"/>
      <w:r>
        <w:rPr>
          <w:rFonts w:cs="Times New Roman" w:ascii="Times New Roman" w:hAnsi="Times New Roman"/>
        </w:rPr>
        <w:t>ARTICLE VI</w:t>
        <w:br/>
        <w:t>EVENTS OF CHANGE AND ACCELERATED TERMINATION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pPr>
      <w:bookmarkStart w:id="25" w:name="__RefHeading___Toc502545049"/>
      <w:r>
        <w:rPr>
          <w:rFonts w:cs="Times New Roman" w:ascii="Times New Roman" w:hAnsi="Times New Roman"/>
        </w:rPr>
        <w:t>6.01</w:t>
      </w:r>
      <w:r>
        <w:rPr/>
        <w:tab/>
      </w:r>
      <w:bookmarkEnd w:id="25"/>
      <w:r>
        <w:rPr>
          <w:rFonts w:cs="Times New Roman" w:ascii="Times New Roman" w:hAnsi="Times New Roman"/>
          <w:u w:val="single"/>
        </w:rPr>
        <w:t>Events of Change</w:t>
      </w:r>
      <w:r>
        <w:rPr>
          <w:rFonts w:cs="Times New Roman" w:ascii="Times New Roman" w:hAnsi="Times New Roman"/>
        </w:rPr>
        <w:t xml:space="preserve">.  Each of the following events shall constitute an </w:t>
      </w:r>
      <w:r>
        <w:rPr>
          <w:rFonts w:cs="Times New Roman" w:ascii="Times New Roman" w:hAnsi="Times New Roman"/>
          <w:u w:val="single"/>
        </w:rPr>
        <w:t>"Event of Change"</w:t>
      </w:r>
      <w:r>
        <w:rPr>
          <w:rFonts w:cs="Times New Roman" w:ascii="Times New Roman" w:hAnsi="Times New Roman"/>
        </w:rPr>
        <w:t xml:space="preserve"> for the purposes of this Agreement: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tab/>
        <w:t>(a)</w:t>
        <w:tab/>
        <w:t>the enactment, promulgation, execution or ratification of, or any change in or amendment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tab/>
        <w:t>(b)</w:t>
        <w:tab/>
        <w:t>the enactment, promulgation, execution or ratification of, or any change in or amendment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Purchaser to accept delivery of Natural Gas under this Agreement being unlawful; or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tab/>
        <w:t>(c)</w:t>
        <w:tab/>
        <w:t>any one or more events of Force Majeure that occur and continue for a consecutive period of longer than six months.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pPr>
      <w:r>
        <w:rPr>
          <w:rFonts w:cs="Times New Roman" w:ascii="Times New Roman" w:hAnsi="Times New Roman"/>
        </w:rPr>
        <w:t>6.02</w:t>
        <w:tab/>
      </w:r>
      <w:r>
        <w:rPr>
          <w:rFonts w:cs="Times New Roman" w:ascii="Times New Roman" w:hAnsi="Times New Roman"/>
          <w:u w:val="single"/>
        </w:rPr>
        <w:t>Accelerated Termination</w:t>
      </w:r>
      <w:r>
        <w:rPr>
          <w:rFonts w:cs="Times New Roman" w:ascii="Times New Roman" w:hAnsi="Times New Roman"/>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firstLine="576" w:end="0"/>
        <w:rPr/>
      </w:pPr>
      <w:r>
        <w:rPr>
          <w:rFonts w:cs="Times New Roman" w:ascii="Times New Roman" w:hAnsi="Times New Roman"/>
        </w:rPr>
        <w:t>6.03</w:t>
        <w:tab/>
      </w:r>
      <w:r>
        <w:rPr>
          <w:rFonts w:cs="Times New Roman" w:ascii="Times New Roman" w:hAnsi="Times New Roman"/>
          <w:u w:val="single"/>
        </w:rPr>
        <w:t>Payments on Accelerated Termination</w:t>
      </w:r>
      <w:r>
        <w:rPr>
          <w:rFonts w:cs="Times New Roman" w:ascii="Times New Roman" w:hAnsi="Times New Roman"/>
        </w:rPr>
        <w:t>.  If an Event of Change shall have occurred and be continuing, and if any arrangement is not, or is not capable of being, made pursuant to Section 6.02, then either party may designate an Accelerated Termination Date.  Upon the Accelerated Termination Date, the parties' obligations hereunder shall terminate,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(ii) pay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contemplated by Section 5.03.  Upon the occurrence of an Accelerated Termination Date, Purchaser's sole remedy shall be either, at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spacing w:before="0" w:after="24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bookmarkStart w:id="26" w:name="__RefHeading___Toc502545051"/>
      <w:bookmarkEnd w:id="26"/>
      <w:r>
        <w:rPr>
          <w:rFonts w:cs="Times New Roman" w:ascii="Times New Roman" w:hAnsi="Times New Roman"/>
        </w:rPr>
        <w:t>ARTICLE VII</w:t>
        <w:br/>
        <w:t>MISCELLANEOUS</w:t>
      </w:r>
    </w:p>
    <w:p>
      <w:pPr>
        <w:pStyle w:val="Heading2"/>
        <w:keepNext w:val="true"/>
        <w:rPr>
          <w:vanish/>
          <w:color w:val="FF0000"/>
          <w:u w:val="single"/>
        </w:rPr>
      </w:pPr>
      <w:bookmarkStart w:id="27" w:name="__RefHeading___Toc502545052"/>
      <w:bookmarkEnd w:id="27"/>
      <w:r>
        <w:rPr/>
        <w:t>7.01</w:t>
        <w:tab/>
      </w:r>
      <w:r>
        <w:rPr>
          <w:u w:val="single"/>
        </w:rPr>
        <w:t>Notice</w:t>
      </w:r>
    </w:p>
    <w:p>
      <w:pPr>
        <w:pStyle w:val="Normal"/>
        <w:keepNext w:val="true"/>
        <w:spacing w:before="0" w:after="240"/>
        <w:rPr>
          <w:rFonts w:ascii="Times New Roman" w:hAnsi="Times New Roman" w:cs="Times New Roman"/>
        </w:rPr>
      </w:pPr>
      <w:r>
        <w:rPr>
          <w:rFonts w:cs="Times New Roman" w:ascii="Times New Roman" w:hAnsi="Times New Roman"/>
        </w:rPr>
        <w:t>.  All notices and other communications provided for hereunder shall be in writing and mailed, delivered or telecopied:</w:t>
      </w:r>
    </w:p>
    <w:p>
      <w:pPr>
        <w:pStyle w:val="Normal"/>
        <w:keepNext w:val="true"/>
        <w:ind w:firstLine="720" w:end="0"/>
        <w:rPr>
          <w:rFonts w:ascii="Times New Roman" w:hAnsi="Times New Roman" w:cs="Times New Roman"/>
        </w:rPr>
      </w:pPr>
      <w:r>
        <w:rPr>
          <w:rFonts w:cs="Times New Roman" w:ascii="Times New Roman" w:hAnsi="Times New Roman"/>
        </w:rPr>
        <w:t>To Seller:</w:t>
      </w:r>
    </w:p>
    <w:p>
      <w:pPr>
        <w:pStyle w:val="Normal"/>
        <w:keepNext w:val="true"/>
        <w:ind w:firstLine="720" w:end="0"/>
        <w:rPr>
          <w:rFonts w:ascii="Times New Roman" w:hAnsi="Times New Roman" w:cs="Times New Roman"/>
        </w:rPr>
      </w:pPr>
      <w:r>
        <w:rPr>
          <w:rFonts w:cs="Times New Roman" w:ascii="Times New Roman" w:hAnsi="Times New Roman"/>
        </w:rPr>
      </w:r>
    </w:p>
    <w:p>
      <w:pPr>
        <w:pStyle w:val="Normal"/>
        <w:keepNext w:val="true"/>
        <w:ind w:firstLine="720" w:end="0"/>
        <w:rPr>
          <w:rFonts w:ascii="Times New Roman" w:hAnsi="Times New Roman" w:cs="Times New Roman"/>
        </w:rPr>
      </w:pPr>
      <w:r>
        <w:rPr>
          <w:rFonts w:cs="Times New Roman" w:ascii="Times New Roman" w:hAnsi="Times New Roman"/>
        </w:rPr>
        <w:t>Stoneville Aegean Ltd.</w:t>
      </w:r>
    </w:p>
    <w:p>
      <w:pPr>
        <w:pStyle w:val="Normal"/>
        <w:keepNext w:val="true"/>
        <w:ind w:firstLine="720" w:end="0"/>
        <w:rPr>
          <w:rFonts w:ascii="Times New Roman" w:hAnsi="Times New Roman" w:cs="Times New Roman"/>
        </w:rPr>
      </w:pPr>
      <w:r>
        <w:rPr>
          <w:rFonts w:cs="Times New Roman" w:ascii="Times New Roman" w:hAnsi="Times New Roman"/>
        </w:rPr>
        <w:t>18 Grenville Street</w:t>
      </w:r>
    </w:p>
    <w:p>
      <w:pPr>
        <w:pStyle w:val="Normal"/>
        <w:keepNext w:val="true"/>
        <w:ind w:firstLine="720" w:end="0"/>
        <w:rPr>
          <w:rFonts w:ascii="Times New Roman" w:hAnsi="Times New Roman" w:cs="Times New Roman"/>
        </w:rPr>
      </w:pPr>
      <w:r>
        <w:rPr>
          <w:rFonts w:cs="Times New Roman" w:ascii="Times New Roman" w:hAnsi="Times New Roman"/>
        </w:rPr>
        <w:t>St. Helier</w:t>
      </w:r>
    </w:p>
    <w:p>
      <w:pPr>
        <w:pStyle w:val="Normal"/>
        <w:keepNext w:val="true"/>
        <w:ind w:firstLine="720" w:end="0"/>
        <w:rPr>
          <w:rFonts w:ascii="Times New Roman" w:hAnsi="Times New Roman" w:cs="Times New Roman"/>
        </w:rPr>
      </w:pPr>
      <w:r>
        <w:rPr>
          <w:rFonts w:cs="Times New Roman" w:ascii="Times New Roman" w:hAnsi="Times New Roman"/>
        </w:rPr>
        <w:t>Jersey, Channel Islands JE4 8PX</w:t>
      </w:r>
    </w:p>
    <w:p>
      <w:pPr>
        <w:pStyle w:val="Normal"/>
        <w:keepNext w:val="true"/>
        <w:ind w:firstLine="720" w:end="0"/>
        <w:rPr>
          <w:rFonts w:ascii="Times New Roman" w:hAnsi="Times New Roman" w:cs="Times New Roman"/>
        </w:rPr>
      </w:pPr>
      <w:r>
        <w:rPr>
          <w:rFonts w:cs="Times New Roman" w:ascii="Times New Roman" w:hAnsi="Times New Roman"/>
        </w:rPr>
        <w:t>Attn:  Ian James</w:t>
      </w:r>
    </w:p>
    <w:p>
      <w:pPr>
        <w:pStyle w:val="Normal"/>
        <w:keepNext w:val="true"/>
        <w:ind w:firstLine="720" w:end="0"/>
        <w:rPr>
          <w:rFonts w:ascii="Times New Roman" w:hAnsi="Times New Roman" w:cs="Times New Roman"/>
        </w:rPr>
      </w:pPr>
      <w:r>
        <w:rPr>
          <w:rFonts w:cs="Times New Roman" w:ascii="Times New Roman" w:hAnsi="Times New Roman"/>
        </w:rPr>
        <w:t>Telecopier No.:  0534-609333</w:t>
      </w:r>
    </w:p>
    <w:p>
      <w:pPr>
        <w:pStyle w:val="Normal"/>
        <w:keepNext w:val="true"/>
        <w:ind w:firstLine="720" w:end="0"/>
        <w:rPr>
          <w:rFonts w:ascii="Times New Roman" w:hAnsi="Times New Roman" w:cs="Times New Roman"/>
        </w:rPr>
      </w:pPr>
      <w:r>
        <w:rPr>
          <w:rFonts w:cs="Times New Roman" w:ascii="Times New Roman" w:hAnsi="Times New Roman"/>
        </w:rPr>
        <w:t>Telephone No.:  0534-609000</w:t>
      </w:r>
    </w:p>
    <w:p>
      <w:pPr>
        <w:pStyle w:val="Normal"/>
        <w:keepNext w:val="true"/>
        <w:ind w:firstLine="720" w:end="0"/>
        <w:rPr>
          <w:rFonts w:ascii="Times New Roman" w:hAnsi="Times New Roman" w:cs="Times New Roman"/>
        </w:rPr>
      </w:pPr>
      <w:r>
        <w:rPr>
          <w:rFonts w:cs="Times New Roman" w:ascii="Times New Roman" w:hAnsi="Times New Roman"/>
        </w:rPr>
      </w:r>
    </w:p>
    <w:p>
      <w:pPr>
        <w:pStyle w:val="Normal"/>
        <w:keepNext w:val="true"/>
        <w:ind w:firstLine="720" w:end="0"/>
        <w:rPr>
          <w:rFonts w:ascii="Times New Roman" w:hAnsi="Times New Roman" w:cs="Times New Roman"/>
        </w:rPr>
      </w:pPr>
      <w:r>
        <w:rPr>
          <w:rFonts w:cs="Times New Roman" w:ascii="Times New Roman" w:hAnsi="Times New Roman"/>
        </w:rPr>
        <w:tab/>
        <w:t>with a copy to:</w:t>
      </w:r>
    </w:p>
    <w:p>
      <w:pPr>
        <w:pStyle w:val="Normal"/>
        <w:keepNext w:val="true"/>
        <w:ind w:firstLine="720" w:end="0"/>
        <w:rPr>
          <w:rFonts w:ascii="Times New Roman" w:hAnsi="Times New Roman" w:cs="Times New Roman"/>
        </w:rPr>
      </w:pPr>
      <w:r>
        <w:rPr>
          <w:rFonts w:cs="Times New Roman" w:ascii="Times New Roman" w:hAnsi="Times New Roman"/>
        </w:rPr>
      </w:r>
    </w:p>
    <w:p>
      <w:pPr>
        <w:pStyle w:val="Normal"/>
        <w:keepNext w:val="true"/>
        <w:ind w:firstLine="720" w:start="1440" w:end="0"/>
        <w:rPr>
          <w:rFonts w:ascii="Times New Roman" w:hAnsi="Times New Roman" w:cs="Times New Roman"/>
        </w:rPr>
      </w:pPr>
      <w:r>
        <w:rPr>
          <w:rFonts w:cs="Times New Roman" w:ascii="Times New Roman" w:hAnsi="Times New Roman"/>
        </w:rPr>
        <w:t>The Chase Manhattan Bank</w:t>
      </w:r>
    </w:p>
    <w:p>
      <w:pPr>
        <w:pStyle w:val="Normal"/>
        <w:keepNext w:val="true"/>
        <w:ind w:firstLine="720" w:start="1440" w:end="0"/>
        <w:rPr>
          <w:rFonts w:ascii="Times New Roman" w:hAnsi="Times New Roman" w:cs="Times New Roman"/>
        </w:rPr>
      </w:pPr>
      <w:r>
        <w:rPr>
          <w:rFonts w:cs="Times New Roman" w:ascii="Times New Roman" w:hAnsi="Times New Roman"/>
        </w:rPr>
        <w:t>270 Park Avenue, 40th Floor</w:t>
      </w:r>
    </w:p>
    <w:p>
      <w:pPr>
        <w:pStyle w:val="Normal"/>
        <w:keepNext w:val="true"/>
        <w:ind w:firstLine="720" w:start="1440" w:end="0"/>
        <w:rPr>
          <w:rFonts w:ascii="Times New Roman" w:hAnsi="Times New Roman" w:cs="Times New Roman"/>
        </w:rPr>
      </w:pPr>
      <w:r>
        <w:rPr>
          <w:rFonts w:cs="Times New Roman" w:ascii="Times New Roman" w:hAnsi="Times New Roman"/>
        </w:rPr>
        <w:t>New York, New York 10017</w:t>
      </w:r>
    </w:p>
    <w:p>
      <w:pPr>
        <w:pStyle w:val="Normal"/>
        <w:keepNext w:val="true"/>
        <w:ind w:firstLine="720" w:start="1440" w:end="0"/>
        <w:rPr>
          <w:rFonts w:ascii="Times New Roman" w:hAnsi="Times New Roman" w:cs="Times New Roman"/>
        </w:rPr>
      </w:pPr>
      <w:r>
        <w:rPr>
          <w:rFonts w:cs="Times New Roman" w:ascii="Times New Roman" w:hAnsi="Times New Roman"/>
        </w:rPr>
        <w:t>Attention:  Legal Department</w:t>
      </w:r>
    </w:p>
    <w:p>
      <w:pPr>
        <w:pStyle w:val="Normal"/>
        <w:keepNext w:val="true"/>
        <w:ind w:firstLine="720" w:start="1440" w:end="0"/>
        <w:rPr>
          <w:rFonts w:ascii="Times New Roman" w:hAnsi="Times New Roman" w:cs="Times New Roman"/>
        </w:rPr>
      </w:pPr>
      <w:r>
        <w:rPr>
          <w:rFonts w:cs="Times New Roman" w:ascii="Times New Roman" w:hAnsi="Times New Roman"/>
        </w:rPr>
        <w:t>Telecopier No.:  (212) 270-7368</w:t>
      </w:r>
    </w:p>
    <w:p>
      <w:pPr>
        <w:pStyle w:val="Normal"/>
        <w:keepNext w:val="true"/>
        <w:ind w:firstLine="720" w:start="1440" w:end="0"/>
        <w:rPr>
          <w:rFonts w:ascii="Times New Roman" w:hAnsi="Times New Roman" w:cs="Times New Roman"/>
        </w:rPr>
      </w:pPr>
      <w:r>
        <w:rPr>
          <w:rFonts w:cs="Times New Roman" w:ascii="Times New Roman" w:hAnsi="Times New Roman"/>
        </w:rPr>
      </w:r>
    </w:p>
    <w:p>
      <w:pPr>
        <w:pStyle w:val="Normal"/>
        <w:keepNext w:val="true"/>
        <w:ind w:firstLine="720" w:end="0"/>
        <w:rPr>
          <w:rFonts w:ascii="Times New Roman" w:hAnsi="Times New Roman" w:cs="Times New Roman"/>
        </w:rPr>
      </w:pPr>
      <w:r>
        <w:rPr>
          <w:rFonts w:cs="Times New Roman" w:ascii="Times New Roman" w:hAnsi="Times New Roman"/>
        </w:rPr>
        <w:t>To Purchaser:</w:t>
      </w:r>
    </w:p>
    <w:p>
      <w:pPr>
        <w:pStyle w:val="Normal"/>
        <w:keepNext w:val="true"/>
        <w:ind w:start="720" w:end="0"/>
        <w:rPr>
          <w:rFonts w:ascii="Times New Roman" w:hAnsi="Times New Roman" w:cs="Times New Roman"/>
        </w:rPr>
      </w:pPr>
      <w:r>
        <w:rPr>
          <w:rFonts w:cs="Times New Roman" w:ascii="Times New Roman" w:hAnsi="Times New Roman"/>
        </w:rPr>
      </w:r>
    </w:p>
    <w:p>
      <w:pPr>
        <w:pStyle w:val="Normal"/>
        <w:keepNext w:val="true"/>
        <w:ind w:firstLine="720" w:end="0"/>
        <w:rPr>
          <w:rFonts w:ascii="Times New Roman" w:hAnsi="Times New Roman" w:cs="Times New Roman"/>
        </w:rPr>
      </w:pPr>
      <w:r>
        <w:rPr>
          <w:rFonts w:cs="Times New Roman" w:ascii="Times New Roman" w:hAnsi="Times New Roman"/>
        </w:rPr>
        <w:t>Enron North America Corp.</w:t>
      </w:r>
    </w:p>
    <w:p>
      <w:pPr>
        <w:pStyle w:val="Normal"/>
        <w:keepNext w:val="true"/>
        <w:ind w:firstLine="720" w:end="0"/>
        <w:rPr>
          <w:rFonts w:ascii="Times New Roman" w:hAnsi="Times New Roman" w:cs="Times New Roman"/>
        </w:rPr>
      </w:pPr>
      <w:r>
        <w:rPr>
          <w:rFonts w:cs="Times New Roman" w:ascii="Times New Roman" w:hAnsi="Times New Roman"/>
        </w:rPr>
        <w:t>1400 Smith Street</w:t>
      </w:r>
    </w:p>
    <w:p>
      <w:pPr>
        <w:pStyle w:val="Normal"/>
        <w:keepNext w:val="true"/>
        <w:ind w:firstLine="720" w:end="0"/>
        <w:rPr>
          <w:rFonts w:ascii="Times New Roman" w:hAnsi="Times New Roman" w:cs="Times New Roman"/>
        </w:rPr>
      </w:pPr>
      <w:r>
        <w:rPr>
          <w:rFonts w:cs="Times New Roman" w:ascii="Times New Roman" w:hAnsi="Times New Roman"/>
        </w:rPr>
        <w:t>Houston, Texas 77002</w:t>
      </w:r>
    </w:p>
    <w:p>
      <w:pPr>
        <w:pStyle w:val="Normal"/>
        <w:keepNext w:val="true"/>
        <w:ind w:firstLine="720" w:end="0"/>
        <w:rPr>
          <w:rFonts w:ascii="Times New Roman" w:hAnsi="Times New Roman" w:cs="Times New Roman"/>
        </w:rPr>
      </w:pPr>
      <w:r>
        <w:rPr>
          <w:rFonts w:cs="Times New Roman" w:ascii="Times New Roman" w:hAnsi="Times New Roman"/>
        </w:rPr>
        <w:t>Attention:  Documentation and Deal Clearing</w:t>
      </w:r>
    </w:p>
    <w:p>
      <w:pPr>
        <w:pStyle w:val="Normal"/>
        <w:keepNext w:val="true"/>
        <w:ind w:firstLine="720" w:end="0"/>
        <w:rPr>
          <w:rFonts w:ascii="Times New Roman" w:hAnsi="Times New Roman" w:cs="Times New Roman"/>
        </w:rPr>
      </w:pPr>
      <w:r>
        <w:rPr>
          <w:rFonts w:cs="Times New Roman" w:ascii="Times New Roman" w:hAnsi="Times New Roman"/>
        </w:rPr>
        <w:t>Telecopier No.:  (713) 646-4816 and (713) 646-4818</w:t>
      </w:r>
    </w:p>
    <w:p>
      <w:pPr>
        <w:pStyle w:val="Normal"/>
        <w:keepNext w:val="true"/>
        <w:ind w:firstLine="720" w:end="0"/>
        <w:rPr>
          <w:rFonts w:ascii="Times New Roman" w:hAnsi="Times New Roman" w:cs="Times New Roman"/>
        </w:rPr>
      </w:pPr>
      <w:r>
        <w:rPr>
          <w:rFonts w:cs="Times New Roman" w:ascii="Times New Roman" w:hAnsi="Times New Roman"/>
        </w:rPr>
        <w:t>Telephone No.:  (713) 853-5472</w:t>
      </w:r>
    </w:p>
    <w:p>
      <w:pPr>
        <w:pStyle w:val="Normal"/>
        <w:keepNext w:val="true"/>
        <w:spacing w:before="0" w:after="240"/>
        <w:ind w:start="720" w:end="0"/>
        <w:rPr>
          <w:rFonts w:ascii="Times New Roman" w:hAnsi="Times New Roman" w:cs="Times New Roman"/>
        </w:rPr>
      </w:pPr>
      <w:r>
        <w:rPr>
          <w:rFonts w:cs="Times New Roman" w:ascii="Times New Roman" w:hAnsi="Times New Roman"/>
        </w:rPr>
      </w:r>
    </w:p>
    <w:p>
      <w:pPr>
        <w:pStyle w:val="Normal"/>
        <w:keepNext w:val="true"/>
        <w:ind w:firstLine="720" w:start="720" w:end="0"/>
        <w:rPr>
          <w:rFonts w:ascii="Times New Roman" w:hAnsi="Times New Roman" w:cs="Times New Roman"/>
        </w:rPr>
      </w:pPr>
      <w:r>
        <w:rPr>
          <w:rFonts w:cs="Times New Roman" w:ascii="Times New Roman" w:hAnsi="Times New Roman"/>
        </w:rPr>
        <w:t>with a copies to:</w:t>
      </w:r>
    </w:p>
    <w:p>
      <w:pPr>
        <w:pStyle w:val="Normal"/>
        <w:keepNext w:val="true"/>
        <w:ind w:start="720" w:end="0"/>
        <w:rPr>
          <w:rFonts w:ascii="Times New Roman" w:hAnsi="Times New Roman" w:cs="Times New Roman"/>
        </w:rPr>
      </w:pPr>
      <w:r>
        <w:rPr>
          <w:rFonts w:cs="Times New Roman" w:ascii="Times New Roman" w:hAnsi="Times New Roman"/>
        </w:rPr>
      </w:r>
    </w:p>
    <w:p>
      <w:pPr>
        <w:pStyle w:val="Normal"/>
        <w:keepNext w:val="true"/>
        <w:ind w:firstLine="720" w:start="1440" w:end="0"/>
        <w:rPr>
          <w:rFonts w:ascii="Times New Roman" w:hAnsi="Times New Roman" w:cs="Times New Roman"/>
        </w:rPr>
      </w:pPr>
      <w:r>
        <w:rPr>
          <w:rFonts w:cs="Times New Roman" w:ascii="Times New Roman" w:hAnsi="Times New Roman"/>
        </w:rPr>
        <w:t>Enron Corp.</w:t>
      </w:r>
    </w:p>
    <w:p>
      <w:pPr>
        <w:pStyle w:val="Normal"/>
        <w:keepNext w:val="true"/>
        <w:ind w:firstLine="720" w:start="1440" w:end="0"/>
        <w:rPr>
          <w:rFonts w:ascii="Times New Roman" w:hAnsi="Times New Roman" w:cs="Times New Roman"/>
        </w:rPr>
      </w:pPr>
      <w:r>
        <w:rPr>
          <w:rFonts w:cs="Times New Roman" w:ascii="Times New Roman" w:hAnsi="Times New Roman"/>
        </w:rPr>
        <w:t>1400 Smith Street</w:t>
      </w:r>
    </w:p>
    <w:p>
      <w:pPr>
        <w:pStyle w:val="Normal"/>
        <w:keepNext w:val="true"/>
        <w:ind w:firstLine="720" w:start="1440" w:end="0"/>
        <w:rPr>
          <w:rFonts w:ascii="Times New Roman" w:hAnsi="Times New Roman" w:cs="Times New Roman"/>
        </w:rPr>
      </w:pPr>
      <w:r>
        <w:rPr>
          <w:rFonts w:cs="Times New Roman" w:ascii="Times New Roman" w:hAnsi="Times New Roman"/>
        </w:rPr>
        <w:t>Houston, Texas  77002</w:t>
      </w:r>
    </w:p>
    <w:p>
      <w:pPr>
        <w:pStyle w:val="Normal"/>
        <w:keepNext w:val="true"/>
        <w:ind w:firstLine="720" w:start="1440" w:end="0"/>
        <w:rPr>
          <w:rFonts w:ascii="Times New Roman" w:hAnsi="Times New Roman" w:cs="Times New Roman"/>
        </w:rPr>
      </w:pPr>
      <w:r>
        <w:rPr>
          <w:rFonts w:cs="Times New Roman" w:ascii="Times New Roman" w:hAnsi="Times New Roman"/>
        </w:rPr>
        <w:t>Attention:  Vice President, Finance and Treasurer</w:t>
      </w:r>
    </w:p>
    <w:p>
      <w:pPr>
        <w:pStyle w:val="Normal"/>
        <w:keepNext w:val="true"/>
        <w:ind w:firstLine="720" w:start="1440" w:end="0"/>
        <w:rPr>
          <w:rFonts w:ascii="Times New Roman" w:hAnsi="Times New Roman" w:cs="Times New Roman"/>
        </w:rPr>
      </w:pPr>
      <w:r>
        <w:rPr>
          <w:rFonts w:cs="Times New Roman" w:ascii="Times New Roman" w:hAnsi="Times New Roman"/>
        </w:rPr>
        <w:t>Telecopier No.:  (713) 646-3422</w:t>
      </w:r>
    </w:p>
    <w:p>
      <w:pPr>
        <w:pStyle w:val="Normal"/>
        <w:keepNext w:val="true"/>
        <w:ind w:firstLine="720" w:start="1440" w:end="0"/>
        <w:rPr>
          <w:rFonts w:ascii="Times New Roman" w:hAnsi="Times New Roman" w:cs="Times New Roman"/>
        </w:rPr>
      </w:pPr>
      <w:r>
        <w:rPr>
          <w:rFonts w:cs="Times New Roman" w:ascii="Times New Roman" w:hAnsi="Times New Roman"/>
        </w:rPr>
        <w:t>Telephone No.:  (713) 853-6161</w:t>
      </w:r>
    </w:p>
    <w:p>
      <w:pPr>
        <w:pStyle w:val="Normal"/>
        <w:keepNext w:val="true"/>
        <w:ind w:firstLine="720" w:start="720" w:end="0"/>
        <w:rPr>
          <w:rFonts w:ascii="Times New Roman" w:hAnsi="Times New Roman" w:cs="Times New Roman"/>
        </w:rPr>
      </w:pPr>
      <w:r>
        <w:rPr>
          <w:rFonts w:cs="Times New Roman" w:ascii="Times New Roman" w:hAnsi="Times New Roman"/>
        </w:rPr>
      </w:r>
    </w:p>
    <w:p>
      <w:pPr>
        <w:pStyle w:val="Normal"/>
        <w:keepNext w:val="true"/>
        <w:ind w:firstLine="720" w:start="720" w:end="0"/>
        <w:rPr>
          <w:rFonts w:ascii="Times New Roman" w:hAnsi="Times New Roman" w:cs="Times New Roman"/>
        </w:rPr>
      </w:pPr>
      <w:r>
        <w:rPr>
          <w:rFonts w:cs="Times New Roman" w:ascii="Times New Roman" w:hAnsi="Times New Roman"/>
        </w:rPr>
        <w:t>and</w:t>
      </w:r>
    </w:p>
    <w:p>
      <w:pPr>
        <w:pStyle w:val="Normal"/>
        <w:keepNext w:val="true"/>
        <w:ind w:firstLine="720" w:start="720" w:end="0"/>
        <w:rPr>
          <w:rFonts w:ascii="Times New Roman" w:hAnsi="Times New Roman" w:cs="Times New Roman"/>
        </w:rPr>
      </w:pPr>
      <w:r>
        <w:rPr>
          <w:rFonts w:cs="Times New Roman" w:ascii="Times New Roman" w:hAnsi="Times New Roman"/>
        </w:rPr>
      </w:r>
    </w:p>
    <w:p>
      <w:pPr>
        <w:pStyle w:val="Normal"/>
        <w:keepNext w:val="true"/>
        <w:ind w:firstLine="720" w:start="720" w:end="0"/>
        <w:rPr>
          <w:rFonts w:ascii="Times New Roman" w:hAnsi="Times New Roman" w:cs="Times New Roman"/>
        </w:rPr>
      </w:pPr>
      <w:r>
        <w:rPr>
          <w:rFonts w:cs="Times New Roman" w:ascii="Times New Roman" w:hAnsi="Times New Roman"/>
        </w:rPr>
        <w:tab/>
        <w:t>Enron Corp.</w:t>
      </w:r>
    </w:p>
    <w:p>
      <w:pPr>
        <w:pStyle w:val="Normal"/>
        <w:keepNext w:val="true"/>
        <w:ind w:firstLine="720" w:start="720" w:end="0"/>
        <w:rPr>
          <w:rFonts w:ascii="Times New Roman" w:hAnsi="Times New Roman" w:cs="Times New Roman"/>
        </w:rPr>
      </w:pPr>
      <w:r>
        <w:rPr>
          <w:rFonts w:cs="Times New Roman" w:ascii="Times New Roman" w:hAnsi="Times New Roman"/>
        </w:rPr>
        <w:tab/>
        <w:t>1400 Smith Street</w:t>
      </w:r>
    </w:p>
    <w:p>
      <w:pPr>
        <w:pStyle w:val="Normal"/>
        <w:keepNext w:val="true"/>
        <w:ind w:firstLine="720" w:start="720" w:end="0"/>
        <w:rPr>
          <w:rFonts w:ascii="Times New Roman" w:hAnsi="Times New Roman" w:cs="Times New Roman"/>
        </w:rPr>
      </w:pPr>
      <w:r>
        <w:rPr>
          <w:rFonts w:cs="Times New Roman" w:ascii="Times New Roman" w:hAnsi="Times New Roman"/>
        </w:rPr>
        <w:tab/>
        <w:t>Houston, Texas  77002</w:t>
      </w:r>
    </w:p>
    <w:p>
      <w:pPr>
        <w:pStyle w:val="Normal"/>
        <w:keepNext w:val="true"/>
        <w:ind w:firstLine="720" w:start="720" w:end="0"/>
        <w:rPr>
          <w:rFonts w:ascii="Times New Roman" w:hAnsi="Times New Roman" w:cs="Times New Roman"/>
        </w:rPr>
      </w:pPr>
      <w:r>
        <w:rPr>
          <w:rFonts w:cs="Times New Roman" w:ascii="Times New Roman" w:hAnsi="Times New Roman"/>
        </w:rPr>
        <w:tab/>
        <w:t>Attention:  Donna Lowry</w:t>
      </w:r>
    </w:p>
    <w:p>
      <w:pPr>
        <w:pStyle w:val="Normal"/>
        <w:keepNext w:val="true"/>
        <w:ind w:firstLine="720" w:start="720" w:end="0"/>
        <w:rPr>
          <w:rFonts w:ascii="Times New Roman" w:hAnsi="Times New Roman" w:cs="Times New Roman"/>
        </w:rPr>
      </w:pPr>
      <w:r>
        <w:rPr>
          <w:rFonts w:cs="Times New Roman" w:ascii="Times New Roman" w:hAnsi="Times New Roman"/>
        </w:rPr>
        <w:tab/>
        <w:t>Telecopier No.:  (713) 646-4039</w:t>
      </w:r>
    </w:p>
    <w:p>
      <w:pPr>
        <w:pStyle w:val="Normal"/>
        <w:keepNext w:val="true"/>
        <w:ind w:firstLine="720" w:start="720" w:end="0"/>
        <w:rPr>
          <w:rFonts w:ascii="Times New Roman" w:hAnsi="Times New Roman" w:cs="Times New Roman"/>
        </w:rPr>
      </w:pPr>
      <w:r>
        <w:rPr>
          <w:rFonts w:cs="Times New Roman" w:ascii="Times New Roman" w:hAnsi="Times New Roman"/>
        </w:rPr>
        <w:tab/>
        <w:t>Telephone No.:  (713) 853-1939</w:t>
      </w:r>
    </w:p>
    <w:p>
      <w:pPr>
        <w:pStyle w:val="Normal"/>
        <w:keepNext w:val="true"/>
        <w:ind w:firstLine="720" w:start="720" w:end="0"/>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rPr>
      </w:pPr>
      <w:r>
        <w:rPr>
          <w:rFonts w:cs="Times New Roman"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Any party may change its address or telecopy number for receipt of communications hereunder by giving notice of such change to each other party in accordance with this Section 7.01.</w:t>
      </w:r>
    </w:p>
    <w:p>
      <w:pPr>
        <w:pStyle w:val="Heading2"/>
        <w:rPr>
          <w:vanish/>
          <w:color w:val="FF0000"/>
          <w:u w:val="single"/>
        </w:rPr>
      </w:pPr>
      <w:bookmarkStart w:id="28" w:name="__RefHeading___Toc502545053"/>
      <w:bookmarkEnd w:id="28"/>
      <w:r>
        <w:rPr/>
        <w:t>7.02</w:t>
        <w:tab/>
      </w:r>
      <w:r>
        <w:rPr>
          <w:u w:val="single"/>
        </w:rPr>
        <w:t>Interest on Overdue Amounts</w:t>
      </w:r>
    </w:p>
    <w:p>
      <w:pPr>
        <w:pStyle w:val="Normal"/>
        <w:spacing w:before="0" w:after="240"/>
        <w:rPr>
          <w:rFonts w:ascii="Times New Roman" w:hAnsi="Times New Roman" w:cs="Times New Roman"/>
        </w:rPr>
      </w:pPr>
      <w:r>
        <w:rPr>
          <w:rFonts w:cs="Times New Roman" w:ascii="Times New Roman" w:hAnsi="Times New Roman"/>
        </w:rPr>
        <w:t>.  If any monetary amounts payable under this Agreement are not paid when due, then such overdue amounts shall bear interest for each day until paid in full, payable on demand, both before and after default, judgment, the Early Termination Date or the Accelerated Termination Date (as applicable), at the U.S. Base Rate plus one and one-half percent per annum on the basis of the actual number of days elapsed and a year of 365 or 366 days, as the case may be.  Such interest shall be determined daily and compounded monthly in arrears on the last day of each calendar month.</w:t>
      </w:r>
    </w:p>
    <w:p>
      <w:pPr>
        <w:pStyle w:val="Heading2"/>
        <w:rPr>
          <w:vanish/>
          <w:color w:val="FF0000"/>
          <w:u w:val="single"/>
        </w:rPr>
      </w:pPr>
      <w:bookmarkStart w:id="29" w:name="__RefHeading___Toc502545054"/>
      <w:bookmarkEnd w:id="29"/>
      <w:r>
        <w:rPr/>
        <w:t>7.03</w:t>
        <w:tab/>
      </w:r>
      <w:r>
        <w:rPr>
          <w:u w:val="single"/>
        </w:rPr>
        <w:t>Governing Law</w:t>
      </w:r>
    </w:p>
    <w:p>
      <w:pPr>
        <w:pStyle w:val="Normal"/>
        <w:spacing w:before="0" w:after="240"/>
        <w:rPr>
          <w:rFonts w:ascii="Times New Roman" w:hAnsi="Times New Roman" w:cs="Times New Roman"/>
        </w:rPr>
      </w:pPr>
      <w:r>
        <w:rPr>
          <w:rFonts w:cs="Times New Roman" w:ascii="Times New Roman" w:hAnsi="Times New Roman"/>
        </w:rPr>
        <w:t>.  THIS AGREEMENT SHALL BE GOVERNED BY AND CONSTRUED IN ACCORDANCE WITH THE LAWS OF THE STATE OF NEW YORK, WITHOUT GIVING EFFECT TO PRINCIPLES OF CONFLICTS OF LAWS THAT WOULD RESULT IN THE APPLICATION OF THE LAWS OF ANOTHER JURISDICTION.</w:t>
      </w:r>
    </w:p>
    <w:p>
      <w:pPr>
        <w:pStyle w:val="Heading2"/>
        <w:rPr>
          <w:vanish/>
          <w:color w:val="FF0000"/>
          <w:u w:val="single"/>
        </w:rPr>
      </w:pPr>
      <w:bookmarkStart w:id="30" w:name="__RefHeading___Toc502545055"/>
      <w:bookmarkEnd w:id="30"/>
      <w:r>
        <w:rPr/>
        <w:t>7.04</w:t>
        <w:tab/>
      </w:r>
      <w:r>
        <w:rPr>
          <w:u w:val="single"/>
        </w:rPr>
        <w:t>Severability</w:t>
      </w:r>
    </w:p>
    <w:p>
      <w:pPr>
        <w:pStyle w:val="Normal"/>
        <w:spacing w:before="0" w:after="240"/>
        <w:rPr>
          <w:rFonts w:ascii="Times New Roman" w:hAnsi="Times New Roman" w:cs="Times New Roman"/>
        </w:rPr>
      </w:pPr>
      <w:r>
        <w:rPr>
          <w:rFonts w:cs="Times New Roman" w:ascii="Times New Roman" w:hAnsi="Times New Roman"/>
        </w:rPr>
        <w:t>.  In the event that one or more of the provisions contained in this Agreement shall be invalid, illegal or unenforceable in any respect under any applicable law the validity, legality or enforceability of the remaining provisions hereof shall not he affected or impaired thereby.  Each of the provisions of this Agreement is hereby declared to be separate and distinct.</w:t>
      </w:r>
    </w:p>
    <w:p>
      <w:pPr>
        <w:pStyle w:val="Heading2"/>
        <w:rPr>
          <w:vanish/>
          <w:color w:val="FF0000"/>
          <w:u w:val="single"/>
        </w:rPr>
      </w:pPr>
      <w:bookmarkStart w:id="31" w:name="__RefHeading___Toc502545056"/>
      <w:bookmarkEnd w:id="31"/>
      <w:r>
        <w:rPr/>
        <w:t>7.05</w:t>
        <w:tab/>
      </w:r>
      <w:r>
        <w:rPr>
          <w:u w:val="single"/>
        </w:rPr>
        <w:t>Currency</w:t>
      </w:r>
    </w:p>
    <w:p>
      <w:pPr>
        <w:pStyle w:val="Normal"/>
        <w:spacing w:before="0" w:after="240"/>
        <w:rPr>
          <w:rFonts w:ascii="Times New Roman" w:hAnsi="Times New Roman" w:cs="Times New Roman"/>
        </w:rPr>
      </w:pPr>
      <w:r>
        <w:rPr>
          <w:rFonts w:cs="Times New Roman" w:ascii="Times New Roman" w:hAnsi="Times New Roman"/>
        </w:rPr>
        <w:t>.  Unless otherwise stated, all amounts expressed herein in terms of money refer to the United States Dollar and all payments to be made hereunder shall be made in such currency.</w:t>
      </w:r>
    </w:p>
    <w:p>
      <w:pPr>
        <w:pStyle w:val="Heading2"/>
        <w:rPr>
          <w:vanish/>
          <w:color w:val="FF0000"/>
          <w:u w:val="single"/>
        </w:rPr>
      </w:pPr>
      <w:bookmarkStart w:id="32" w:name="__RefHeading___Toc502545057"/>
      <w:bookmarkEnd w:id="32"/>
      <w:r>
        <w:rPr/>
        <w:t>7.06</w:t>
        <w:tab/>
      </w:r>
      <w:r>
        <w:rPr>
          <w:u w:val="single"/>
        </w:rPr>
        <w:t>Purchaser Not an Agent</w:t>
      </w:r>
    </w:p>
    <w:p>
      <w:pPr>
        <w:pStyle w:val="Normal"/>
        <w:spacing w:before="0" w:after="240"/>
        <w:rPr>
          <w:rFonts w:ascii="Times New Roman" w:hAnsi="Times New Roman" w:cs="Times New Roman"/>
        </w:rPr>
      </w:pPr>
      <w:r>
        <w:rPr>
          <w:rFonts w:cs="Times New Roman" w:ascii="Times New Roman" w:hAnsi="Times New Roman"/>
        </w:rPr>
        <w:t>.  Purchaser acknowledges and confirms that all purchases of Natural Gas hereunder are being made by it as a principal and that it is not acting as agent for any other Person in connection with purchases of Natural Gas hereunder.</w:t>
      </w:r>
    </w:p>
    <w:p>
      <w:pPr>
        <w:pStyle w:val="Heading2"/>
        <w:rPr>
          <w:vanish/>
          <w:color w:val="FF0000"/>
          <w:u w:val="single"/>
        </w:rPr>
      </w:pPr>
      <w:bookmarkStart w:id="33" w:name="__RefHeading___Toc502545058"/>
      <w:bookmarkEnd w:id="33"/>
      <w:r>
        <w:rPr/>
        <w:t>7.07</w:t>
        <w:tab/>
      </w:r>
      <w:r>
        <w:rPr>
          <w:u w:val="single"/>
        </w:rPr>
        <w:t>Benefit of the Agreement</w:t>
      </w:r>
    </w:p>
    <w:p>
      <w:pPr>
        <w:pStyle w:val="Normal"/>
        <w:spacing w:before="0" w:after="240"/>
        <w:rPr>
          <w:rFonts w:ascii="Times New Roman" w:hAnsi="Times New Roman" w:cs="Times New Roman"/>
        </w:rPr>
      </w:pPr>
      <w:r>
        <w:rPr>
          <w:rFonts w:cs="Times New Roman" w:ascii="Times New Roman" w:hAnsi="Times New Roman"/>
        </w:rPr>
        <w:t>.  This Agreement shall inure to the benefit of and be binding upon Seller, Purchaser and their respective successors and assigns.</w:t>
      </w:r>
    </w:p>
    <w:p>
      <w:pPr>
        <w:pStyle w:val="Heading2"/>
        <w:rPr>
          <w:vanish/>
          <w:color w:val="FF0000"/>
          <w:u w:val="single"/>
        </w:rPr>
      </w:pPr>
      <w:bookmarkStart w:id="34" w:name="__RefHeading___Toc502545059"/>
      <w:bookmarkEnd w:id="34"/>
      <w:r>
        <w:rPr/>
        <w:t>7.08</w:t>
        <w:tab/>
      </w:r>
      <w:r>
        <w:rPr>
          <w:u w:val="single"/>
        </w:rPr>
        <w:t>Assignment and Transfer</w:t>
      </w:r>
    </w:p>
    <w:p>
      <w:pPr>
        <w:pStyle w:val="Normal"/>
        <w:spacing w:before="0" w:after="240"/>
        <w:rPr>
          <w:rFonts w:ascii="Times New Roman" w:hAnsi="Times New Roman" w:cs="Times New Roman"/>
        </w:rPr>
      </w:pPr>
      <w:r>
        <w:rPr>
          <w:rFonts w:cs="Times New Roman" w:ascii="Times New Roman" w:hAnsi="Times New Roman"/>
        </w:rPr>
        <w:t>.  No party may assign any rights or delegate any obligations hereunder without the prior written consent of each other party.</w:t>
      </w:r>
    </w:p>
    <w:p>
      <w:pPr>
        <w:pStyle w:val="Heading2"/>
        <w:rPr>
          <w:vanish/>
          <w:color w:val="FF0000"/>
          <w:u w:val="single"/>
        </w:rPr>
      </w:pPr>
      <w:bookmarkStart w:id="35" w:name="__RefHeading___Toc502545060"/>
      <w:bookmarkEnd w:id="35"/>
      <w:r>
        <w:rPr/>
        <w:t>7.09</w:t>
        <w:tab/>
      </w:r>
      <w:r>
        <w:rPr>
          <w:u w:val="single"/>
        </w:rPr>
        <w:t>Entire Agreement</w:t>
      </w:r>
    </w:p>
    <w:p>
      <w:pPr>
        <w:pStyle w:val="Normal"/>
        <w:spacing w:before="0" w:after="240"/>
        <w:rPr>
          <w:rFonts w:ascii="Times New Roman" w:hAnsi="Times New Roman" w:cs="Times New Roman"/>
        </w:rPr>
      </w:pPr>
      <w:r>
        <w:rPr>
          <w:rFonts w:cs="Times New Roman" w:ascii="Times New Roman" w:hAnsi="Times New Roman"/>
        </w:rPr>
        <w:t>.  This Agreement constitutes the entire agreement between the parties hereto and supersedes any prior agreement, undertaking, declarations, commitments or representations, written or oral, in respect thereof.</w:t>
      </w:r>
    </w:p>
    <w:p>
      <w:pPr>
        <w:pStyle w:val="Heading2"/>
        <w:rPr>
          <w:vanish/>
          <w:color w:val="FF0000"/>
          <w:u w:val="single"/>
        </w:rPr>
      </w:pPr>
      <w:bookmarkStart w:id="36" w:name="__RefHeading___Toc502545061"/>
      <w:bookmarkEnd w:id="36"/>
      <w:r>
        <w:rPr/>
        <w:t>7.10</w:t>
        <w:tab/>
      </w:r>
      <w:r>
        <w:rPr>
          <w:u w:val="single"/>
        </w:rPr>
        <w:t>Amendments</w:t>
      </w:r>
    </w:p>
    <w:p>
      <w:pPr>
        <w:pStyle w:val="Normal"/>
        <w:spacing w:before="0" w:after="240"/>
        <w:rPr>
          <w:rFonts w:ascii="Times New Roman" w:hAnsi="Times New Roman" w:cs="Times New Roman"/>
        </w:rPr>
      </w:pPr>
      <w:r>
        <w:rPr>
          <w:rFonts w:cs="Times New Roman" w:ascii="Times New Roman" w:hAnsi="Times New Roman"/>
        </w:rPr>
        <w:t>.  This Agreement may not be modified or amended except by an instrument in writing signed by Purchaser and the Seller or by their respective successors or permitted assigns.</w:t>
      </w:r>
    </w:p>
    <w:p>
      <w:pPr>
        <w:pStyle w:val="Heading2"/>
        <w:rPr>
          <w:vanish/>
          <w:color w:val="FF0000"/>
          <w:u w:val="single"/>
        </w:rPr>
      </w:pPr>
      <w:bookmarkStart w:id="37" w:name="__RefHeading___Toc502545062"/>
      <w:bookmarkEnd w:id="37"/>
      <w:r>
        <w:rPr/>
        <w:t>7.11</w:t>
        <w:tab/>
      </w:r>
      <w:r>
        <w:rPr>
          <w:u w:val="single"/>
        </w:rPr>
        <w:t>No Waivers, Remedies</w:t>
      </w:r>
    </w:p>
    <w:p>
      <w:pPr>
        <w:pStyle w:val="Normal"/>
        <w:spacing w:before="0" w:after="240"/>
        <w:rPr>
          <w:rFonts w:ascii="Times New Roman" w:hAnsi="Times New Roman" w:cs="Times New Roman"/>
        </w:rPr>
      </w:pPr>
      <w:r>
        <w:rPr>
          <w:rFonts w:cs="Times New Roman" w:ascii="Times New Roman" w:hAnsi="Times New Roman"/>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Heading2"/>
        <w:rPr>
          <w:vanish/>
          <w:color w:val="FF0000"/>
          <w:u w:val="single"/>
        </w:rPr>
      </w:pPr>
      <w:bookmarkStart w:id="38" w:name="__RefHeading___Toc502545063"/>
      <w:bookmarkEnd w:id="38"/>
      <w:r>
        <w:rPr/>
        <w:t>7.12</w:t>
        <w:tab/>
      </w:r>
      <w:r>
        <w:rPr>
          <w:u w:val="single"/>
        </w:rPr>
        <w:t>Time of the Essence</w:t>
      </w:r>
    </w:p>
    <w:p>
      <w:pPr>
        <w:pStyle w:val="Normal"/>
        <w:spacing w:before="0" w:after="240"/>
        <w:rPr>
          <w:rFonts w:ascii="Times New Roman" w:hAnsi="Times New Roman" w:cs="Times New Roman"/>
        </w:rPr>
      </w:pPr>
      <w:r>
        <w:rPr>
          <w:rFonts w:cs="Times New Roman" w:ascii="Times New Roman" w:hAnsi="Times New Roman"/>
        </w:rPr>
        <w:t>.  Time shall be of the essence of this Agreement.</w:t>
      </w:r>
    </w:p>
    <w:p>
      <w:pPr>
        <w:pStyle w:val="Heading2"/>
        <w:rPr>
          <w:vanish/>
          <w:color w:val="FF0000"/>
          <w:u w:val="single"/>
        </w:rPr>
      </w:pPr>
      <w:bookmarkStart w:id="39" w:name="__RefHeading___Toc502545064"/>
      <w:bookmarkEnd w:id="39"/>
      <w:r>
        <w:rPr/>
        <w:t>7.13</w:t>
        <w:tab/>
      </w:r>
      <w:r>
        <w:rPr>
          <w:u w:val="single"/>
        </w:rPr>
        <w:t>Counterparts</w:t>
      </w:r>
    </w:p>
    <w:p>
      <w:pPr>
        <w:pStyle w:val="Normal"/>
        <w:spacing w:before="0" w:after="240"/>
        <w:rPr>
          <w:rFonts w:ascii="Times New Roman" w:hAnsi="Times New Roman" w:cs="Times New Roman"/>
        </w:rPr>
      </w:pPr>
      <w:r>
        <w:rPr>
          <w:rFonts w:cs="Times New Roman" w:ascii="Times New Roman" w:hAnsi="Times New Roman"/>
        </w:rPr>
        <w:t>.  This Agreement may be executed in counterparts, each of which when so executed shall be deemed to be an original and such counterparts together shall constitute one and the same instrument.</w:t>
      </w:r>
    </w:p>
    <w:p>
      <w:pPr>
        <w:pStyle w:val="Heading2"/>
        <w:rPr>
          <w:vanish/>
          <w:color w:val="FF0000"/>
        </w:rPr>
      </w:pPr>
      <w:bookmarkStart w:id="40" w:name="__RefHeading___Toc502545065"/>
      <w:bookmarkEnd w:id="40"/>
      <w:r>
        <w:rPr/>
        <w:t>7.14</w:t>
        <w:tab/>
      </w:r>
      <w:r>
        <w:rPr>
          <w:u w:val="single"/>
        </w:rPr>
        <w:t>Intent</w:t>
      </w:r>
    </w:p>
    <w:p>
      <w:pPr>
        <w:pStyle w:val="Normal"/>
        <w:spacing w:before="0" w:after="240"/>
        <w:rPr>
          <w:rFonts w:ascii="Times New Roman" w:hAnsi="Times New Roman" w:cs="Times New Roman"/>
        </w:rPr>
      </w:pPr>
      <w:r>
        <w:rPr>
          <w:rFonts w:cs="Times New Roman" w:ascii="Times New Roman" w:hAnsi="Times New Roman"/>
        </w:rPr>
        <w:t>.  The parties intend that this Agreement shall constitute a forward contract within the meaning of Section 556 of the Bankruptcy Code.</w:t>
      </w:r>
      <w:r>
        <w:br w:type="page"/>
      </w:r>
    </w:p>
    <w:p>
      <w:pPr>
        <w:pStyle w:val="Normal"/>
        <w:spacing w:before="0" w:after="240"/>
        <w:ind w:firstLine="720" w:end="0"/>
        <w:rPr>
          <w:rFonts w:ascii="Times New Roman" w:hAnsi="Times New Roman" w:cs="Times New Roman"/>
        </w:rPr>
      </w:pPr>
      <w:r>
        <w:rPr>
          <w:rFonts w:cs="Times New Roman" w:ascii="Times New Roman" w:hAnsi="Times New Roman"/>
        </w:rPr>
        <w:t>IN WITNESS WHEREOF the parties hereto have executed this Agreement as of the date first written above.</w:t>
      </w:r>
    </w:p>
    <w:p>
      <w:pPr>
        <w:pStyle w:val="Normal"/>
        <w:tabs>
          <w:tab w:val="clear" w:pos="720"/>
          <w:tab w:val="left" w:pos="1080" w:leader="none"/>
        </w:tabs>
        <w:spacing w:before="0" w:after="240"/>
        <w:rPr>
          <w:rFonts w:ascii="Times New Roman" w:hAnsi="Times New Roman" w:cs="Times New Roman"/>
        </w:rPr>
      </w:pPr>
      <w:r>
        <w:rPr>
          <w:rFonts w:cs="Times New Roman" w:ascii="Times New Roman" w:hAnsi="Times New Roman"/>
        </w:rPr>
      </w:r>
    </w:p>
    <w:p>
      <w:pPr>
        <w:pStyle w:val="Normal"/>
        <w:spacing w:before="0" w:after="240"/>
        <w:ind w:start="4320" w:end="0"/>
        <w:rPr>
          <w:rFonts w:ascii="Times New Roman" w:hAnsi="Times New Roman" w:cs="Times New Roman"/>
        </w:rPr>
      </w:pPr>
      <w:r>
        <w:rPr>
          <w:rFonts w:cs="Times New Roman" w:ascii="Times New Roman" w:hAnsi="Times New Roman"/>
        </w:rPr>
        <w:t>STONEVILLE AEGEAN LTD.</w:t>
      </w:r>
    </w:p>
    <w:p>
      <w:pPr>
        <w:pStyle w:val="Normal"/>
        <w:spacing w:before="0" w:after="240"/>
        <w:ind w:start="43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By:___________________________________</w:t>
      </w:r>
    </w:p>
    <w:p>
      <w:pPr>
        <w:pStyle w:val="Normal"/>
        <w:ind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spacing w:before="0" w:after="240"/>
        <w:ind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Title:</w:t>
      </w:r>
    </w:p>
    <w:p>
      <w:pPr>
        <w:pStyle w:val="Normal"/>
        <w:spacing w:before="0" w:after="240"/>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rPr>
      </w:pPr>
      <w:r>
        <w:rPr>
          <w:rFonts w:cs="Times New Roman" w:ascii="Times New Roman" w:hAnsi="Times New Roman"/>
        </w:rPr>
        <w:tab/>
        <w:tab/>
        <w:tab/>
        <w:tab/>
        <w:tab/>
        <w:tab/>
        <w:t>ENRON NORTH AMERICA CORP.</w:t>
      </w:r>
    </w:p>
    <w:p>
      <w:pPr>
        <w:pStyle w:val="Normal"/>
        <w:spacing w:before="0" w:after="240"/>
        <w:ind w:start="43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By:___________________________________</w:t>
      </w:r>
    </w:p>
    <w:p>
      <w:pPr>
        <w:pStyle w:val="Normal"/>
        <w:ind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spacing w:before="0" w:after="240"/>
        <w:ind w:start="43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Title:</w:t>
      </w:r>
    </w:p>
    <w:p>
      <w:pPr>
        <w:pStyle w:val="Normal"/>
        <w:spacing w:before="0" w:after="240"/>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rPr>
      </w:pPr>
      <w:r>
        <w:rPr>
          <w:rFonts w:cs="Times New Roman" w:ascii="Times New Roman" w:hAnsi="Times New Roman"/>
        </w:rPr>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1440" w:top="1496" w:footer="720" w:bottom="1440"/>
          <w:pgNumType w:start="1" w:fmt="decimal"/>
          <w:formProt w:val="false"/>
          <w:titlePg/>
          <w:textDirection w:val="lrTb"/>
          <w:docGrid w:type="default" w:linePitch="360" w:charSpace="0"/>
        </w:sectPr>
        <w:pStyle w:val="Normal"/>
        <w:spacing w:before="0" w:after="240"/>
        <w:rPr>
          <w:rFonts w:ascii="Times New Roman" w:hAnsi="Times New Roman" w:cs="Times New Roman"/>
        </w:rPr>
      </w:pPr>
      <w:r>
        <w:rPr>
          <w:rFonts w:cs="Times New Roman" w:ascii="Times New Roman" w:hAnsi="Times New Roman"/>
        </w:rPr>
      </w:r>
    </w:p>
    <w:p>
      <w:pPr>
        <w:pStyle w:val="Normal"/>
        <w:spacing w:before="0" w:after="240"/>
        <w:jc w:val="end"/>
        <w:rPr>
          <w:rFonts w:ascii="Times New Roman" w:hAnsi="Times New Roman" w:cs="Times New Roman"/>
        </w:rPr>
      </w:pPr>
      <w:r>
        <w:rPr>
          <w:rFonts w:cs="Times New Roman" w:ascii="Times New Roman" w:hAnsi="Times New Roman"/>
        </w:rPr>
        <w:t>EXHIBIT A</w:t>
      </w:r>
    </w:p>
    <w:p>
      <w:pPr>
        <w:pStyle w:val="Normal"/>
        <w:spacing w:before="0" w:after="240"/>
        <w:jc w:val="center"/>
        <w:rPr>
          <w:rFonts w:ascii="Times New Roman" w:hAnsi="Times New Roman" w:cs="Times New Roman"/>
        </w:rPr>
      </w:pPr>
      <w:r>
        <w:rPr>
          <w:rFonts w:cs="Times New Roman" w:ascii="Times New Roman" w:hAnsi="Times New Roman"/>
        </w:rPr>
        <w:t>Delivery Points/Required Delivery Quantity Schedule</w:t>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720" w:bottom="1440"/>
          <w:pgNumType w:start="1" w:fmt="decimal"/>
          <w:formProt w:val="false"/>
          <w:titlePg/>
          <w:textDirection w:val="lrTb"/>
          <w:docGrid w:type="default" w:linePitch="360" w:charSpace="0"/>
        </w:sectPr>
        <w:pStyle w:val="Normal"/>
        <w:spacing w:before="0" w:after="240"/>
        <w:jc w:val="center"/>
        <w:rPr>
          <w:rFonts w:ascii="Times New Roman" w:hAnsi="Times New Roman" w:cs="Times New Roman"/>
        </w:rPr>
      </w:pPr>
      <w:r>
        <w:rPr>
          <w:rFonts w:cs="Times New Roman" w:ascii="Times New Roman" w:hAnsi="Times New Roman"/>
        </w:rPr>
        <w:t>[To be inserted from Confirmation Letter to Forward Sale Agreement]</w:t>
      </w:r>
    </w:p>
    <w:p>
      <w:pPr>
        <w:pStyle w:val="Normal"/>
        <w:spacing w:before="0" w:after="240"/>
        <w:jc w:val="end"/>
        <w:rPr>
          <w:rFonts w:ascii="Times New Roman" w:hAnsi="Times New Roman" w:cs="Times New Roman"/>
        </w:rPr>
      </w:pPr>
      <w:r>
        <w:rPr>
          <w:rFonts w:cs="Times New Roman" w:ascii="Times New Roman" w:hAnsi="Times New Roman"/>
        </w:rPr>
        <w:t>EXHIBIT B</w:t>
      </w:r>
    </w:p>
    <w:p>
      <w:pPr>
        <w:pStyle w:val="Normal"/>
        <w:spacing w:before="0" w:after="240"/>
        <w:jc w:val="center"/>
        <w:rPr/>
      </w:pPr>
      <w:r>
        <w:rPr/>
        <w:t>[Contract Price Schedule</w:t>
      </w:r>
    </w:p>
    <w:tbl>
      <w:tblPr>
        <w:tblW w:w="7380" w:type="dxa"/>
        <w:jc w:val="start"/>
        <w:tblInd w:w="1548" w:type="dxa"/>
        <w:tblLayout w:type="fixed"/>
        <w:tblCellMar>
          <w:top w:w="0" w:type="dxa"/>
          <w:start w:w="108" w:type="dxa"/>
          <w:bottom w:w="0" w:type="dxa"/>
          <w:end w:w="108" w:type="dxa"/>
        </w:tblCellMar>
      </w:tblPr>
      <w:tblGrid>
        <w:gridCol w:w="3690"/>
        <w:gridCol w:w="3690"/>
      </w:tblGrid>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Times New Roman" w:hAnsi="Times New Roman" w:cs="Times New Roman"/>
                <w:b/>
              </w:rPr>
            </w:pPr>
            <w:r>
              <w:rPr>
                <w:rFonts w:cs="Times New Roman" w:ascii="Times New Roman" w:hAnsi="Times New Roman"/>
                <w:b/>
              </w:rPr>
              <w:t>Delivery Month</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Times New Roman" w:hAnsi="Times New Roman" w:cs="Times New Roman"/>
                <w:b/>
              </w:rPr>
            </w:pPr>
            <w:r>
              <w:rPr>
                <w:rFonts w:cs="Times New Roman" w:ascii="Times New Roman" w:hAnsi="Times New Roman"/>
                <w:b/>
              </w:rPr>
              <w:t>Contract Price Per MMBtu</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Times New Roman" w:hAnsi="Times New Roman" w:cs="Times New Roman"/>
              </w:rPr>
            </w:pPr>
            <w:r>
              <w:rPr>
                <w:rFonts w:cs="Times New Roman" w:ascii="Times New Roman" w:hAnsi="Times New Roman"/>
              </w:rPr>
              <w:t>April 2001</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Times New Roman" w:hAnsi="Times New Roman" w:cs="Times New Roman"/>
              </w:rPr>
            </w:pPr>
            <w:r>
              <w:rPr>
                <w:rFonts w:cs="Times New Roman" w:ascii="Times New Roman" w:hAnsi="Times New Roman"/>
              </w:rPr>
              <w:t>May 2001</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rFonts w:ascii="Times New Roman" w:hAnsi="Times New Roman" w:cs="Times New Roman"/>
              </w:rPr>
            </w:pPr>
            <w:r>
              <w:rPr>
                <w:rFonts w:cs="Times New Roman" w:ascii="Times New Roman" w:hAnsi="Times New Roman"/>
              </w:rPr>
            </w:r>
          </w:p>
        </w:tc>
      </w:tr>
    </w:tbl>
    <w:p>
      <w:pPr>
        <w:pStyle w:val="Normal"/>
        <w:spacing w:before="0" w:after="240"/>
        <w:jc w:val="center"/>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u w:val="single"/>
        </w:rPr>
      </w:pPr>
      <w:r>
        <w:rPr>
          <w:rFonts w:cs="Times New Roman" w:ascii="Times New Roman" w:hAnsi="Times New Roman"/>
          <w:u w:val="single"/>
        </w:rPr>
      </w:r>
    </w:p>
    <w:p>
      <w:pPr>
        <w:pStyle w:val="Normal"/>
        <w:spacing w:before="0" w:after="240"/>
        <w:rPr>
          <w:rFonts w:ascii="Times New Roman" w:hAnsi="Times New Roman" w:cs="Times New Roman"/>
          <w:u w:val="single"/>
        </w:rPr>
      </w:pPr>
      <w:r>
        <w:rPr>
          <w:rFonts w:cs="Times New Roman" w:ascii="Times New Roman" w:hAnsi="Times New Roman"/>
          <w:u w:val="single"/>
        </w:rPr>
      </w:r>
    </w:p>
    <w:p>
      <w:pPr>
        <w:pStyle w:val="Header"/>
        <w:tabs>
          <w:tab w:val="clear" w:pos="4320"/>
          <w:tab w:val="clear" w:pos="8640"/>
        </w:tabs>
        <w:spacing w:before="0" w:after="240"/>
        <w:rPr>
          <w:rFonts w:ascii="Times New Roman" w:hAnsi="Times New Roman" w:cs="Times New Roman"/>
          <w:u w:val="single"/>
        </w:rPr>
      </w:pPr>
      <w:r>
        <w:rPr>
          <w:rFonts w:cs="Times New Roman" w:ascii="Times New Roman" w:hAnsi="Times New Roman"/>
          <w:u w:val="single"/>
        </w:rPr>
      </w:r>
    </w:p>
    <w:sectPr>
      <w:headerReference w:type="default" r:id="rId14"/>
      <w:headerReference w:type="first" r:id="rId15"/>
      <w:footerReference w:type="default" r:id="rId16"/>
      <w:footerReference w:type="first" r:id="rId17"/>
      <w:type w:val="nextPage"/>
      <w:pgSz w:w="12240" w:h="15840"/>
      <w:pgMar w:left="1440" w:right="1440" w:gutter="0" w:header="1080" w:top="113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273551:v02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0"/>
      </w:rPr>
    </w:pPr>
    <w:r>
      <w:rPr>
        <w:sz w:val="16"/>
      </w:rPr>
      <w:t>273551 V2</w:t>
    </w:r>
    <w: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pPr>
      <w:pStyle w:val="Footer"/>
      <w:spacing w:lineRule="exact" w:line="200"/>
      <w:rPr>
        <w:rStyle w:val="PageNumber"/>
        <w:sz w:val="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0"/>
      </w:rPr>
    </w:pPr>
    <w:r>
      <w:rPr>
        <w:sz w:val="16"/>
      </w:rPr>
      <w:t>273551 V2</w:t>
    </w:r>
    <w:r>
      <w:rPr/>
      <w:tab/>
      <w:t>NATURAL GAS FORWARD SALE AGREEMENT</w:t>
    </w:r>
  </w:p>
  <w:p>
    <w:pPr>
      <w:pStyle w:val="Footer"/>
      <w:jc w:val="center"/>
      <w:rPr>
        <w:rStyle w:val="PageNumber"/>
        <w:sz w:val="20"/>
      </w:rPr>
    </w:pPr>
    <w:r>
      <w:rPr/>
    </w:r>
  </w:p>
  <w:p>
    <w:pPr>
      <w:pStyle w:val="Footer"/>
      <w:jc w:val="center"/>
      <w:rPr>
        <w:rStyle w:val="PageNumber"/>
        <w:sz w:val="20"/>
      </w:rPr>
    </w:pPr>
    <w:r>
      <w:rPr/>
    </w:r>
  </w:p>
  <w:p>
    <w:pPr>
      <w:pStyle w:val="Footer"/>
      <w:spacing w:lineRule="exact" w:line="200"/>
      <w:rPr>
        <w:rStyle w:val="PageNumber"/>
        <w:sz w:val="2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0"/>
      </w:rPr>
    </w:pPr>
    <w:r>
      <w:rPr>
        <w:sz w:val="16"/>
      </w:rPr>
      <w:t>273551 V2</w:t>
    </w:r>
    <w:r>
      <w:rPr/>
      <w:tab/>
      <w:t>NATURAL GAS FORWARD SALE AGREEMENT</w:t>
    </w:r>
  </w:p>
  <w:p>
    <w:pPr>
      <w:pStyle w:val="Footer"/>
      <w:jc w:val="center"/>
      <w:rPr>
        <w:rStyle w:val="PageNumber"/>
        <w:sz w:val="20"/>
      </w:rPr>
    </w:pPr>
    <w:r>
      <w:rPr/>
    </w:r>
  </w:p>
  <w:p>
    <w:pPr>
      <w:pStyle w:val="Footer"/>
      <w:spacing w:lineRule="exact" w:line="200"/>
      <w:rPr>
        <w:rStyle w:val="PageNumber"/>
        <w:sz w:val="2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273551 V2</w:t>
    </w:r>
    <w:r>
      <w:rPr/>
      <w:tab/>
      <w:t>NATURAL GAS FORWARD SALE AGREEMENT</w:t>
    </w:r>
  </w:p>
  <w:p>
    <w:pPr>
      <w:pStyle w:val="Footer"/>
      <w:jc w:val="center"/>
      <w:rPr>
        <w:rStyle w:val="PageNumber"/>
        <w:sz w:val="20"/>
      </w:rPr>
    </w:pPr>
    <w:r>
      <w:rPr/>
    </w:r>
  </w:p>
  <w:p>
    <w:pPr>
      <w:pStyle w:val="Footer"/>
      <w:jc w:val="center"/>
      <w:rPr>
        <w:rStyle w:val="PageNumber"/>
        <w:sz w:val="20"/>
      </w:rPr>
    </w:pPr>
    <w:r>
      <w:rPr/>
    </w:r>
  </w:p>
  <w:p>
    <w:pPr>
      <w:pStyle w:val="Footer"/>
      <w:spacing w:lineRule="exact" w:line="200"/>
      <w:rPr>
        <w:rStyle w:val="PageNumber"/>
        <w:sz w:val="2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273551 V2</w:t>
    </w:r>
    <w:r>
      <w:rPr/>
      <w:tab/>
      <w:t>NATURAL GAS FORWARD SALE AGREEMENT</w:t>
    </w:r>
  </w:p>
  <w:p>
    <w:pPr>
      <w:pStyle w:val="Footer"/>
      <w:jc w:val="center"/>
      <w:rPr>
        <w:rStyle w:val="PageNumber"/>
        <w:sz w:val="20"/>
      </w:rPr>
    </w:pPr>
    <w:r>
      <w:rPr/>
    </w:r>
  </w:p>
  <w:p>
    <w:pPr>
      <w:pStyle w:val="Footer"/>
      <w:spacing w:lineRule="exact" w:line="200"/>
      <w:rPr>
        <w:rStyle w:val="PageNumber"/>
        <w:sz w:val="2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142875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Annex 2</w:t>
    </w:r>
  </w:p>
  <w:p>
    <w:pPr>
      <w:pStyle w:val="Normal"/>
      <w:spacing w:lineRule="exact" w:line="200"/>
      <w:rPr>
        <w:rFonts w:ascii="Times New Roman" w:hAnsi="Times New Roman" w:cs="Times New Roman"/>
        <w:sz w:val="16"/>
      </w:rPr>
    </w:pPr>
    <w:r>
      <w:rPr>
        <w:rFonts w:cs="Times New Roman" w:ascii="Times New Roman" w:hAnsi="Times New Roman"/>
        <w:sz w:val="16"/>
      </w:rPr>
      <w:t>273551:v02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20</w:t>
    </w:r>
    <w:r>
      <w:rPr/>
      <w:fldChar w:fldCharType="end"/>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D:\#7258600 v1 - Mahonia - Stoneville Forward Sale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before="240" w:after="240"/>
      <w:jc w:val="center"/>
      <w:outlineLvl w:val="0"/>
    </w:pPr>
    <w:rPr>
      <w:rFonts w:ascii="Times New Roman Bold" w:hAnsi="Times New Roman Bold" w:cs="Times New Roman Bold"/>
      <w:b/>
    </w:rPr>
  </w:style>
  <w:style w:type="paragraph" w:styleId="Heading2">
    <w:name w:val="heading 2"/>
    <w:basedOn w:val="Normal"/>
    <w:next w:val="Normal"/>
    <w:qFormat/>
    <w:pPr>
      <w:widowControl/>
      <w:numPr>
        <w:ilvl w:val="1"/>
        <w:numId w:val="1"/>
      </w:numPr>
      <w:spacing w:before="0" w:after="240"/>
      <w:ind w:firstLine="720" w:start="0" w:end="0"/>
      <w:outlineLvl w:val="1"/>
    </w:pPr>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EADING11">
    <w:name w:val="HEADING 11"/>
    <w:qFormat/>
    <w:rPr>
      <w:b/>
      <w:sz w:val="28"/>
    </w:rPr>
  </w:style>
  <w:style w:type="character" w:styleId="zzmpTrailerItem">
    <w:name w:val="zzmpTrailerItem"/>
    <w:basedOn w:val="DefaultParagraphFont"/>
    <w:qFormat/>
    <w:rPr>
      <w:rFonts w:ascii="Times New Roman" w:hAnsi="Times New Roman" w:cs="Times New Roman"/>
      <w:b/>
      <w:sz w:val="16"/>
      <w:effect w:val="blinkBackground"/>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rFonts w:ascii="Times New Roman" w:hAnsi="Times New Roman" w:cs="Times New Roman"/>
    </w:rPr>
  </w:style>
  <w:style w:type="paragraph" w:styleId="TOC2">
    <w:name w:val="toc 2"/>
    <w:basedOn w:val="Normal"/>
    <w:next w:val="Normal"/>
    <w:pPr>
      <w:ind w:hanging="720" w:start="1440"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rFonts w:ascii="Times New Roman" w:hAnsi="Times New Roman" w:cs="Times New Roman"/>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2001-01-08T16:54:00Z</dcterms:created>
  <dc:creator>August E. Shouse</dc:creator>
  <dc:description/>
  <dc:language>en-CA</dc:language>
  <cp:lastModifiedBy>levyp</cp:lastModifiedBy>
  <cp:lastPrinted>2001-01-08T17:01:00Z</cp:lastPrinted>
  <dcterms:modified xsi:type="dcterms:W3CDTF">2001-01-08T20:15:00Z</dcterms:modified>
  <cp:revision>6</cp:revision>
  <dc:subject/>
  <dc:title>MILBANK DRAFT</dc:title>
</cp:coreProperties>
</file>