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160" w:leader="none"/>
        </w:tabs>
        <w:rPr/>
      </w:pPr>
      <w:r>
        <w:rPr>
          <w:sz w:val="28"/>
        </w:rPr>
        <w:tab/>
        <w:tab/>
        <w:tab/>
        <w:tab/>
        <w:tab/>
        <w:tab/>
      </w:r>
      <w:r>
        <w:rPr>
          <w:sz w:val="22"/>
        </w:rPr>
        <w:t xml:space="preserve">17 Thornbury Road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Scarsdale, New York 10583 </w:t>
      </w:r>
      <w:r>
        <w:rPr>
          <w:sz w:val="32"/>
        </w:rPr>
        <w:t>Steven R. Pottle</w:t>
      </w:r>
      <w:r>
        <w:rPr>
          <w:sz w:val="22"/>
        </w:rPr>
        <w:t xml:space="preserve"> </w:t>
        <w:tab/>
        <w:tab/>
        <w:tab/>
        <w:tab/>
        <w:tab/>
        <w:tab/>
        <w:t xml:space="preserve">(914) 725-8894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spottle@Optonline.com</w:t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08"/>
      </w:tblGrid>
      <w:tr>
        <w:trPr/>
        <w:tc>
          <w:tcPr>
            <w:tcW w:w="10908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Profile:</w:t>
      </w:r>
    </w:p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</w:tabs>
        <w:rPr>
          <w:sz w:val="22"/>
        </w:rPr>
      </w:pPr>
      <w:r>
        <w:rPr>
          <w:sz w:val="22"/>
        </w:rPr>
        <w:t xml:space="preserve">Senior professional with 15 years of investment banking, commercial banking, corporate finance and e-commerce experience.  </w:t>
      </w:r>
    </w:p>
    <w:p>
      <w:pPr>
        <w:pStyle w:val="Normal"/>
        <w:tabs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Summary of Skills: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3780"/>
        <w:gridCol w:w="4608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Transaction Structuring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Relationship Management 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Business Development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Trading and Hedging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Cash flow modeling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Risk Management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Negotiating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Credit Analysis</w:t>
            </w:r>
          </w:p>
        </w:tc>
      </w:tr>
    </w:tbl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ab/>
        <w:tab/>
        <w:tab/>
        <w:tab/>
      </w:r>
    </w:p>
    <w:p>
      <w:pPr>
        <w:pStyle w:val="Heading4"/>
        <w:tabs>
          <w:tab w:val="left" w:pos="720" w:leader="none"/>
        </w:tabs>
        <w:ind w:hanging="0" w:start="0"/>
        <w:rPr/>
      </w:pPr>
      <w:r>
        <w:rPr/>
        <w:t>EXPERIENCE</w:t>
      </w:r>
    </w:p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Heading8"/>
        <w:tabs>
          <w:tab w:val="left" w:pos="720" w:leader="none"/>
        </w:tabs>
        <w:overflowPunct w:val="true"/>
        <w:autoSpaceDE w:val="true"/>
        <w:ind w:hanging="0" w:start="0"/>
        <w:textAlignment w:val="auto"/>
        <w:rPr>
          <w:bCs/>
          <w:szCs w:val="24"/>
        </w:rPr>
      </w:pPr>
      <w:r>
        <w:rPr>
          <w:bCs/>
          <w:szCs w:val="24"/>
        </w:rPr>
        <w:t>OilfieldCapital.com, New York</w:t>
        <w:tab/>
        <w:tab/>
        <w:tab/>
        <w:tab/>
        <w:tab/>
        <w:tab/>
        <w:t>September 1999 – February 2001</w:t>
      </w:r>
    </w:p>
    <w:p>
      <w:pPr>
        <w:pStyle w:val="Normal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Founded B2B marketplace to enable oil and gas companies to raise private equity over the internet.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Negotiated partnerships with leading e-commerce companies.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Wrote business plan for presentation to venture capital firms and angel investors.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Completed extensive research of the b2b market for energy.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Presented at major energy e-commerce conferences.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Negotiated and closed acquisition of EnergyStorehouse.com, a B2B e-commerce company.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Negotiated technology contracts.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Sithe Energies, Inc, New York</w:t>
        <w:tab/>
        <w:t xml:space="preserve"> </w:t>
        <w:tab/>
        <w:tab/>
        <w:tab/>
        <w:tab/>
        <w:tab/>
        <w:tab/>
        <w:t>May 1998 – September 1999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Vice President, Business Development</w:t>
      </w:r>
    </w:p>
    <w:p>
      <w:pPr>
        <w:pStyle w:val="Normal"/>
        <w:tabs>
          <w:tab w:val="left" w:pos="720" w:leader="none"/>
        </w:tabs>
        <w:ind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 xml:space="preserve">Headed a team, including capital markets consultants, developing company-wide technology infrastructure for trading electricity, natural gas, oil and coal to optimize the value of 8,000 megawatts of generating capacity.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Worked closely with a team of energy traders in establishing, executing and monitoring trading strategies.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Tracked trading positions and quantified risk exposures related to electricity and fuel trading, including short term power sales into the New England markets.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Developed trading limits by time bucket, value at risk, commodity, total Btu’s, etc.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 xml:space="preserve">Hired two professionals to head the middle and back office groups.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Contributed to the development of comprehensive market risk management policies.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Evaluated trading systems software vendors for position tracking and risk analytics.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Worked on developing a model for valuing generation assets as spread options.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sz w:val="22"/>
        </w:rPr>
        <w:t xml:space="preserve">Deutsche Bank Securities, Investment Banking Division, New York </w:t>
        <w:tab/>
        <w:tab/>
        <w:tab/>
        <w:tab/>
        <w:t>1995-1998</w:t>
      </w:r>
    </w:p>
    <w:p>
      <w:pPr>
        <w:pStyle w:val="Heading2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sz w:val="22"/>
        </w:rPr>
        <w:t>Vice President, Oil and Gas Investment Banking Group, 1996-1998</w:t>
      </w:r>
    </w:p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 xml:space="preserve">Marketed Deutsche’s global Project and Export Finance capabilities to petroleum industry clients nationwide. 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Originated investment and commercial banking transactions with oil and gas company clients throughout the United States.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Contributed to structuring and executing $200 mm Trust Preferred Stock transaction completed for Enron in the private placement (144A) market.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Developed and presented advisory proposal to Chief Financial Officer of Enron Global Power and Pipelines relating to the potential sale of their 38% equity interest in Promigas, local gas distribution company in Colombia.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sz w:val="22"/>
        </w:rPr>
        <w:t>Vice President, Oil and Gas Project Finance Group, 1995 – 1996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Analyzed and obtained approval for $200 mm underwriting associated with a bid to arrange $600 mm of financing for the Atlantic LNG facility in Trinidad.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Originated opportunity to finance the acquisition of  $140 mm of oil reserves in Peru for PlusPetrol, a leading oil and gas company in Argentina.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Contributed to the development of a $200 mm structured facility for the acquisition of an interest in Oasis Pipeline by Aquila Gas Pipeline.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Heading8"/>
        <w:ind w:hanging="0" w:start="0"/>
        <w:jc w:val="both"/>
        <w:rPr/>
      </w:pPr>
      <w:r>
        <w:rPr/>
        <w:t xml:space="preserve">The Industrial Bank of Japan, New York </w:t>
        <w:tab/>
        <w:tab/>
        <w:tab/>
        <w:tab/>
        <w:tab/>
        <w:tab/>
        <w:tab/>
        <w:t>1992 – 1995</w:t>
      </w:r>
    </w:p>
    <w:p>
      <w:pPr>
        <w:pStyle w:val="Normal"/>
        <w:tabs>
          <w:tab w:val="left" w:pos="720" w:leader="none"/>
        </w:tabs>
        <w:ind w:start="360" w:end="0"/>
        <w:jc w:val="both"/>
        <w:rPr>
          <w:sz w:val="22"/>
        </w:rPr>
      </w:pPr>
      <w:r>
        <w:rPr>
          <w:sz w:val="22"/>
        </w:rPr>
        <w:t>Assistant Vice President, Electric and Gas Utilities Group</w:t>
      </w:r>
    </w:p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 xml:space="preserve">Originated corporate loan transactions among electric and gas utility clients throughout the Northeast.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Provided analytical and marketing assistance to the bank’s Houston office.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jc w:val="both"/>
        <w:rPr>
          <w:sz w:val="22"/>
        </w:rPr>
      </w:pPr>
      <w:r>
        <w:rPr>
          <w:sz w:val="22"/>
        </w:rPr>
        <w:t>Analyzed synthetic leases, forward crude oil sales, revolving credits and other structured transactions.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8"/>
        <w:ind w:hanging="0" w:start="0"/>
        <w:jc w:val="both"/>
        <w:rPr/>
      </w:pPr>
      <w:r>
        <w:rPr/>
        <w:t xml:space="preserve">Swiss Bank Corporation </w:t>
        <w:tab/>
        <w:tab/>
        <w:tab/>
        <w:tab/>
        <w:tab/>
        <w:tab/>
        <w:tab/>
        <w:tab/>
        <w:tab/>
        <w:t>1985 - 1991</w:t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  <w:t xml:space="preserve">Corporate Loan Officer, New York, Dallas and Los Angeles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Managed $300 million corporate loan portfolio.</w:t>
      </w:r>
    </w:p>
    <w:p>
      <w:pPr>
        <w:pStyle w:val="Normal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Marketed project finance, revolvers, and capital markets products, and lease transactions.</w:t>
      </w:r>
    </w:p>
    <w:p>
      <w:pPr>
        <w:pStyle w:val="Normal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Prepared credit analyses supporting transactions for West-Coast natural resource clients.</w:t>
      </w:r>
    </w:p>
    <w:p>
      <w:pPr>
        <w:pStyle w:val="Normal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Presented transactions to Credit Decision Committee.</w:t>
      </w:r>
    </w:p>
    <w:p>
      <w:pPr>
        <w:pStyle w:val="Normal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Developed financial modeling proficiency using Alcar and Excel software.</w:t>
      </w:r>
    </w:p>
    <w:p>
      <w:pPr>
        <w:pStyle w:val="Normal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Specialized in analyzing energy company customers and completed Swiss Bank's formal credit training program.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SOUTHERN METHODIST UNIVERSITY, Dallas, Texas, 1992.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Master of Business Administration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UNIVERSITY OF MASSACHUSETTS, Amherst, Massachusetts, 1985.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Bachelor of Business Administration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ADDITIONAL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NASD Series 7 and 63 Registrations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720" w:right="720" w:gutter="0" w:header="0" w:top="72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o"/>
      <w:lvlJc w:val="start"/>
      <w:pPr>
        <w:tabs>
          <w:tab w:val="num" w:pos="360"/>
        </w:tabs>
        <w:ind w:star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start"/>
      <w:pPr>
        <w:tabs>
          <w:tab w:val="num" w:pos="360"/>
        </w:tabs>
        <w:ind w:star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start"/>
      <w:pPr>
        <w:tabs>
          <w:tab w:val="num" w:pos="360"/>
        </w:tabs>
        <w:ind w:star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start"/>
      <w:pPr>
        <w:tabs>
          <w:tab w:val="num" w:pos="360"/>
        </w:tabs>
        <w:ind w:star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start"/>
      <w:pPr>
        <w:tabs>
          <w:tab w:val="num" w:pos="360"/>
        </w:tabs>
        <w:ind w:star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start"/>
      <w:pPr>
        <w:tabs>
          <w:tab w:val="num" w:pos="360"/>
        </w:tabs>
        <w:ind w:star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start"/>
      <w:pPr>
        <w:tabs>
          <w:tab w:val="num" w:pos="360"/>
        </w:tabs>
        <w:ind w:start="3240" w:hanging="360"/>
      </w:pPr>
      <w:rPr>
        <w:rFonts w:ascii="Wingdings" w:hAnsi="Wingdings" w:cs="Wingdings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autoSpaceDE w:val="false"/>
      <w:textAlignment w:val="baseline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false"/>
      <w:autoSpaceDE w:val="false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verflowPunct w:val="false"/>
      <w:autoSpaceDE w:val="false"/>
      <w:textAlignment w:val="baseline"/>
      <w:outlineLvl w:val="7"/>
    </w:pPr>
    <w:rPr>
      <w:b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2001-05-29T16:42:00Z</dcterms:created>
  <dc:creator>steven Pottle</dc:creator>
  <dc:description/>
  <dc:language>en-CA</dc:language>
  <cp:lastModifiedBy>pweinber</cp:lastModifiedBy>
  <cp:lastPrinted>2001-04-03T15:26:00Z</cp:lastPrinted>
  <dcterms:modified xsi:type="dcterms:W3CDTF">2001-05-29T16:42:00Z</dcterms:modified>
  <cp:revision>2</cp:revision>
  <dc:subject/>
  <dc:title>Steven R</dc:title>
</cp:coreProperties>
</file>