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b w:val="false"/>
        </w:rPr>
      </w:pPr>
      <w:r>
        <w:rPr>
          <w:b w:val="false"/>
        </w:rPr>
        <w:t>Draft</w:t>
      </w:r>
    </w:p>
    <w:p>
      <w:pPr>
        <w:pStyle w:val="BodyText"/>
        <w:jc w:val="center"/>
        <w:rPr>
          <w:b w:val="false"/>
          <w:u w:val="none"/>
        </w:rPr>
      </w:pPr>
      <w:r>
        <w:rPr>
          <w:b w:val="false"/>
          <w:u w:val="none"/>
        </w:rPr>
      </w:r>
    </w:p>
    <w:p>
      <w:pPr>
        <w:pStyle w:val="BodyText"/>
        <w:jc w:val="center"/>
        <w:rPr>
          <w:b w:val="false"/>
          <w:u w:val="none"/>
        </w:rPr>
      </w:pPr>
      <w:r>
        <w:rPr>
          <w:b w:val="false"/>
          <w:u w:val="none"/>
        </w:rPr>
        <w:t>Steven Kean testimony</w:t>
      </w:r>
    </w:p>
    <w:p>
      <w:pPr>
        <w:pStyle w:val="BodyText"/>
        <w:jc w:val="center"/>
        <w:rPr>
          <w:b w:val="false"/>
          <w:u w:val="none"/>
        </w:rPr>
      </w:pPr>
      <w:r>
        <w:rPr>
          <w:b w:val="false"/>
          <w:u w:val="none"/>
        </w:rPr>
        <w:t>United States International Trade Commission</w:t>
      </w:r>
    </w:p>
    <w:p>
      <w:pPr>
        <w:pStyle w:val="BodyText"/>
        <w:jc w:val="center"/>
        <w:rPr>
          <w:b w:val="false"/>
          <w:u w:val="none"/>
        </w:rPr>
      </w:pPr>
      <w:r>
        <w:rPr>
          <w:b w:val="false"/>
          <w:u w:val="none"/>
        </w:rPr>
        <w:t>hearing on</w:t>
      </w:r>
    </w:p>
    <w:p>
      <w:pPr>
        <w:pStyle w:val="BodyText"/>
        <w:jc w:val="center"/>
        <w:rPr>
          <w:b w:val="false"/>
          <w:u w:val="none"/>
        </w:rPr>
      </w:pPr>
      <w:r>
        <w:rPr>
          <w:b w:val="false"/>
          <w:u w:val="none"/>
        </w:rPr>
        <w:t>Electric Power Services: Recent Reforms in Selected Foreign Markets</w:t>
      </w:r>
    </w:p>
    <w:p>
      <w:pPr>
        <w:pStyle w:val="BodyText"/>
        <w:jc w:val="center"/>
        <w:rPr>
          <w:b w:val="false"/>
          <w:u w:val="none"/>
        </w:rPr>
      </w:pPr>
      <w:r>
        <w:rPr>
          <w:b w:val="false"/>
          <w:u w:val="none"/>
        </w:rPr>
        <w:t>Washington, D.C.</w:t>
      </w:r>
    </w:p>
    <w:p>
      <w:pPr>
        <w:pStyle w:val="BodyText"/>
        <w:jc w:val="center"/>
        <w:rPr>
          <w:b w:val="false"/>
          <w:u w:val="none"/>
        </w:rPr>
      </w:pPr>
      <w:r>
        <w:rPr>
          <w:b w:val="false"/>
          <w:u w:val="none"/>
        </w:rPr>
        <w:t>June 6, 2000</w:t>
      </w:r>
    </w:p>
    <w:p>
      <w:pPr>
        <w:pStyle w:val="BodyText"/>
        <w:rPr>
          <w:b w:val="false"/>
          <w:u w:val="none"/>
        </w:rPr>
      </w:pPr>
      <w:r>
        <w:rPr>
          <w:b w:val="false"/>
          <w:u w:val="none"/>
        </w:rPr>
      </w:r>
    </w:p>
    <w:p>
      <w:pPr>
        <w:pStyle w:val="BodyText"/>
        <w:rPr>
          <w:b w:val="false"/>
          <w:i/>
          <w:i/>
          <w:u w:val="none"/>
        </w:rPr>
      </w:pPr>
      <w:r>
        <w:rPr>
          <w:b w:val="false"/>
          <w:i/>
          <w:u w:val="none"/>
        </w:rPr>
        <w:t>[Note:  Lynn Bragg, current Chairman of the ITC, came from the Edison Electric Institute, where she was a director of government affairs.  The other Commissioners are largely trade experts in textiles, tax, NAFTA and WTO issues, with plenty of law and Hill experience among them.  The most recently elected Commissioner, Deanna Tanner Okun, worked for Senator Murkowski and her bio says that she handled his international energy issues.]</w:t>
      </w:r>
    </w:p>
    <w:p>
      <w:pPr>
        <w:pStyle w:val="Normal"/>
        <w:rPr>
          <w:rFonts w:ascii="Arial" w:hAnsi="Arial" w:cs="Arial"/>
          <w:b/>
          <w:i/>
          <w:i/>
          <w:sz w:val="24"/>
          <w:u w:val="single"/>
        </w:rPr>
      </w:pPr>
      <w:r>
        <w:rPr>
          <w:rFonts w:cs="Arial" w:ascii="Arial" w:hAnsi="Arial"/>
          <w:b/>
          <w:i/>
          <w:sz w:val="24"/>
          <w:u w:val="single"/>
        </w:rPr>
      </w:r>
    </w:p>
    <w:p>
      <w:pPr>
        <w:pStyle w:val="BodyText2"/>
        <w:rPr/>
      </w:pPr>
      <w:r>
        <w:rPr/>
        <w:t xml:space="preserve">Madam Chair, Commissioners, Ladies and Gentlemen: Thank you for providing me with this opportunity to address you on the important issues of market reform, privatization, and liberalization undertaken in foreign electricity markets. </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 xml:space="preserve">I am the Executive Vice President and Chief of Staff of Enron Corporation, a Fortune 20 energy and communications services company with operations in over 40 countries around the globe.  Enron is the largest trader of gas and electricity in North America, and we soon will be in Europe as well.  Our on-line e-commerce web site is the world’s highest sales volume B-2-B web site, buying and selling nearly $500 million each day, in gas, electricity, and other commodities.  Enron owns and operates gas pipelines and power plants in South and Central America and Asia; we trade energy commodities in Australia and Argentina and Japan; we are building and selling fiber optic networks, services and applications on 3 continents.  </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In order to do this, we’ve had to break down market access and regulatory barriers to new competition in a historically very protected sector.  Not surprisingly Enron has earned a reputation for opening markets, and more often than not we are out in front of our competitors in this regard.  Enron probably expends more capital and time than any other American energy company in working with governments around the world to teach the benefits that an open energy system will offer, and to outline how policy and regulatory reform based on transparency and predictability is essential to creating efficient and effective energy markets.</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 xml:space="preserve">But none of these efforts—including here in the United States—has been easy.  </w:t>
      </w:r>
      <w:r>
        <w:rPr>
          <w:rFonts w:cs="Arial" w:ascii="Arial" w:hAnsi="Arial"/>
          <w:color w:val="000000"/>
          <w:sz w:val="24"/>
          <w:lang w:eastAsia="en-US"/>
        </w:rPr>
        <w:t>Reform has been spotty and many markets that are traditionally thought of as liberalized are in fact largely closed.  Therefore, much work remains to be done</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 xml:space="preserve">Enron applauds both this ITC study and the USTR initiative on energy services liberalization which is its genesis.  Enron founded and co-chairs the Energy Services Coalition, a group of over 50 energy companies and associations who came together here in Washington last year to press for inclusion of energy services in the WTO GATS services negotiations.  We’ve achieved a great deal in a short period of time. Our premise has been that energy services were largely left out of the Uruguay Round services negotiations, yet affordable and reliable energy is the fundamental building block for economic growth, national security, and social stability in every society.  </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 xml:space="preserve">The challenge we face is that we, as the energy sector, and you as trade experts and government negotiators, need to bear foremost in mind that success should be measured by more than new WTO commitments, nicely worded legislation, or new policy pronouncements by other governments.  Success is in results.  Or simply put: the devil is in the details. </w:t>
      </w:r>
    </w:p>
    <w:p>
      <w:pPr>
        <w:pStyle w:val="Normal"/>
        <w:rPr>
          <w:rFonts w:ascii="Arial" w:hAnsi="Arial" w:cs="Arial"/>
          <w:sz w:val="24"/>
        </w:rPr>
      </w:pPr>
      <w:r>
        <w:rPr>
          <w:rFonts w:cs="Arial" w:ascii="Arial" w:hAnsi="Arial"/>
          <w:sz w:val="24"/>
        </w:rPr>
      </w:r>
    </w:p>
    <w:p>
      <w:pPr>
        <w:pStyle w:val="Normal"/>
        <w:rPr/>
      </w:pPr>
      <w:r>
        <w:rPr>
          <w:rFonts w:cs="Arial" w:ascii="Arial" w:hAnsi="Arial"/>
          <w:sz w:val="24"/>
        </w:rPr>
        <w:t xml:space="preserve">There </w:t>
      </w:r>
      <w:r>
        <w:rPr>
          <w:rFonts w:cs="Arial" w:ascii="Arial" w:hAnsi="Arial"/>
          <w:color w:val="000000"/>
          <w:sz w:val="24"/>
          <w:lang w:eastAsia="en-US"/>
        </w:rPr>
        <w:t xml:space="preserve">are dozens of approaches utilized by states and incumbent firms to keep competition in the energy sector from becoming a practical reality.  And if there is one message I would leave you with today, it is this: the only way to identify true liberalization, the only real measure of reform, is to measure the percentage of penetration in local markets by competitive firms.  </w:t>
      </w:r>
    </w:p>
    <w:p>
      <w:pPr>
        <w:pStyle w:val="Normal"/>
        <w:rPr>
          <w:rFonts w:ascii="Arial" w:hAnsi="Arial" w:cs="Arial"/>
          <w:color w:val="000000"/>
          <w:sz w:val="24"/>
          <w:lang w:eastAsia="en-US"/>
        </w:rPr>
      </w:pPr>
      <w:r>
        <w:rPr>
          <w:rFonts w:cs="Arial" w:ascii="Arial" w:hAnsi="Arial"/>
          <w:color w:val="000000"/>
          <w:sz w:val="24"/>
          <w:lang w:eastAsia="en-US"/>
        </w:rPr>
      </w:r>
    </w:p>
    <w:p>
      <w:pPr>
        <w:pStyle w:val="BodyText2"/>
        <w:rPr/>
      </w:pPr>
      <w:r>
        <w:rPr/>
        <w:t>Your study has identified 9 foreign markets, though of course the European Union includes 15 distinct, and at times challenging, cases.  Enron is active in every market discussed today except Chile.  I thought, though, that the limited time afforded me would best be spent by providing a few examples of my point.  Each of these snapshots is drawn from my team of senior regulatory and government affairs experts around the world, and it represents the most recent and accurate assessment of power market reform in the markets you are investigating.  We will submit separately for the record summaries that delve into much greater detail, and I encourage you and your staff to refer to them.</w:t>
      </w:r>
    </w:p>
    <w:p>
      <w:pPr>
        <w:pStyle w:val="Normal"/>
        <w:rPr>
          <w:rFonts w:ascii="Arial" w:hAnsi="Arial" w:cs="Arial"/>
          <w:sz w:val="24"/>
        </w:rPr>
      </w:pPr>
      <w:r>
        <w:rPr>
          <w:rFonts w:cs="Arial" w:ascii="Arial" w:hAnsi="Arial"/>
          <w:sz w:val="24"/>
        </w:rPr>
      </w:r>
    </w:p>
    <w:p>
      <w:pPr>
        <w:pStyle w:val="Normal"/>
        <w:rPr/>
      </w:pPr>
      <w:r>
        <w:rPr>
          <w:rFonts w:cs="Arial" w:ascii="Arial" w:hAnsi="Arial"/>
          <w:sz w:val="24"/>
        </w:rPr>
        <w:t xml:space="preserve">Let’s begin with </w:t>
      </w:r>
      <w:r>
        <w:rPr>
          <w:rFonts w:cs="Arial" w:ascii="Arial" w:hAnsi="Arial"/>
          <w:sz w:val="24"/>
          <w:u w:val="single"/>
        </w:rPr>
        <w:t>Australia</w:t>
      </w:r>
      <w:r>
        <w:rPr>
          <w:rFonts w:cs="Arial" w:ascii="Arial" w:hAnsi="Arial"/>
          <w:sz w:val="24"/>
        </w:rPr>
        <w:t xml:space="preserve">, which is a good example of perception vs. reality.  Australia is largely considered to be among the more open electricity markets in the world, after it launched a series of reforms that culminated in the establishment of a National Electricity Market in 1998.  These reforms disaggregated </w:t>
      </w:r>
      <w:r>
        <w:rPr>
          <w:rFonts w:cs="Arial" w:ascii="Arial" w:hAnsi="Arial"/>
          <w:sz w:val="24"/>
          <w:lang w:eastAsia="en-US"/>
        </w:rPr>
        <w:t>existing utilities into separate generation, transmission, distribution and retail entities; corporatized each of these entities; and then placed the entities into a competitive market with minimal political interference in operational aspects.  But the reality is that significant problems remain, the most significant being the cumbersome regulatory arrangements placed by the government, which provide very poor economic signals to the marketplace.</w:t>
      </w:r>
    </w:p>
    <w:p>
      <w:pPr>
        <w:pStyle w:val="Normal"/>
        <w:rPr>
          <w:rFonts w:ascii="Arial" w:hAnsi="Arial" w:cs="Arial"/>
          <w:sz w:val="24"/>
          <w:lang w:eastAsia="en-US"/>
        </w:rPr>
      </w:pPr>
      <w:r>
        <w:rPr>
          <w:rFonts w:cs="Arial" w:ascii="Arial" w:hAnsi="Arial"/>
          <w:sz w:val="24"/>
          <w:lang w:eastAsia="en-US"/>
        </w:rPr>
      </w:r>
    </w:p>
    <w:p>
      <w:pPr>
        <w:pStyle w:val="Normal"/>
        <w:rPr>
          <w:rFonts w:ascii="Arial" w:hAnsi="Arial" w:cs="Arial"/>
          <w:sz w:val="24"/>
          <w:lang w:eastAsia="en-US"/>
        </w:rPr>
      </w:pPr>
      <w:r>
        <w:rPr>
          <w:rFonts w:cs="Arial" w:ascii="Arial" w:hAnsi="Arial"/>
          <w:sz w:val="24"/>
          <w:lang w:eastAsia="en-US"/>
        </w:rPr>
        <w:t>There are three national regulatory bodies active in Australia’s National Electricity Market, and in addition each participating State has its own regulator. Therefore as a single company seeking to trade in Australia we have to simultaneously interact with seven regulatory bodies who prove to be constantly moving targets, each acting independently.  This uncertainty results in a lack of liquidity in the market.  For example, at one single point earlier this year there were over 35 reports on various code change issues and rates return issued by the States, all seeking comments from interested parties.  Enron has come to the conclusion in Australia that regulatory risk alone creates significant barriers to investment in power assets in the immediate term.</w:t>
      </w:r>
    </w:p>
    <w:p>
      <w:pPr>
        <w:pStyle w:val="Normal"/>
        <w:rPr>
          <w:rFonts w:ascii="Arial" w:hAnsi="Arial" w:cs="Arial"/>
          <w:sz w:val="24"/>
          <w:lang w:eastAsia="en-US"/>
        </w:rPr>
      </w:pPr>
      <w:r>
        <w:rPr>
          <w:rFonts w:cs="Arial" w:ascii="Arial" w:hAnsi="Arial"/>
          <w:sz w:val="24"/>
          <w:lang w:eastAsia="en-US"/>
        </w:rPr>
      </w:r>
    </w:p>
    <w:p>
      <w:pPr>
        <w:pStyle w:val="BodyText2"/>
        <w:rPr/>
      </w:pPr>
      <w:r>
        <w:rPr>
          <w:u w:val="single"/>
          <w:lang w:eastAsia="en-US"/>
        </w:rPr>
        <w:t>New Zealand</w:t>
      </w:r>
      <w:r>
        <w:rPr>
          <w:lang w:eastAsia="en-US"/>
        </w:rPr>
        <w:t xml:space="preserve"> is similarly considered to be among the more open electricity markets in the world, but ironically it suffers from the opposite problem, too little regulation.  New Zealand successfully separated its generation from transmission, which allowed for the creation of a wholesale market.  But the wholesale market has no statutory oversight, since it was created by a government that defined key principles, then left the details and regulatory oversight up to the market players to define. This lack of governing legislation has allowed disparities to creep into the market in the form of hidden pricing in bilateral contracts, and the continued dominance of vertically integrated firms that disadvantage new market entrants.  New Zealand holds the unique distinction of being expected to introduce new and significantly increased government regulatory oversight to increase market penetration by new players.</w:t>
      </w:r>
    </w:p>
    <w:p>
      <w:pPr>
        <w:pStyle w:val="Normal"/>
        <w:rPr>
          <w:rFonts w:ascii="Arial" w:hAnsi="Arial" w:cs="Arial"/>
          <w:sz w:val="24"/>
          <w:lang w:eastAsia="en-US"/>
        </w:rPr>
      </w:pPr>
      <w:r>
        <w:rPr>
          <w:rFonts w:cs="Arial" w:ascii="Arial" w:hAnsi="Arial"/>
          <w:sz w:val="24"/>
          <w:lang w:eastAsia="en-US"/>
        </w:rPr>
      </w:r>
    </w:p>
    <w:p>
      <w:pPr>
        <w:pStyle w:val="Normal"/>
        <w:rPr/>
      </w:pPr>
      <w:r>
        <w:rPr>
          <w:rFonts w:cs="Arial" w:ascii="Arial" w:hAnsi="Arial"/>
          <w:sz w:val="24"/>
          <w:lang w:eastAsia="en-US"/>
        </w:rPr>
        <w:t xml:space="preserve">The </w:t>
      </w:r>
      <w:r>
        <w:rPr>
          <w:rFonts w:cs="Arial" w:ascii="Arial" w:hAnsi="Arial"/>
          <w:sz w:val="24"/>
          <w:u w:val="single"/>
          <w:lang w:eastAsia="en-US"/>
        </w:rPr>
        <w:t>Japanese</w:t>
      </w:r>
      <w:r>
        <w:rPr>
          <w:rFonts w:cs="Arial" w:ascii="Arial" w:hAnsi="Arial"/>
          <w:sz w:val="24"/>
          <w:lang w:eastAsia="en-US"/>
        </w:rPr>
        <w:t xml:space="preserve"> power market is as always complex.  Japan introduced partial electricity deregulation in March of this year, with competition introduced in some segments of the market.  However the implementing laws and regulations that drove this reform are generally prescriptive in nature, and open to interpretation.  Significant barriers remain to new market entrants in both the manner and the extent to which these reforms are interpreted and implemented.  For example, information that is critical to competing in an open transmission system includes access to cost data, rates and tariffs, and other calculations used by utilities.  Japan’s utilities have not shown a willingness to make these costs public.  </w:t>
      </w:r>
    </w:p>
    <w:p>
      <w:pPr>
        <w:pStyle w:val="Normal"/>
        <w:rPr>
          <w:rFonts w:ascii="Arial" w:hAnsi="Arial" w:cs="Arial"/>
          <w:sz w:val="24"/>
          <w:lang w:eastAsia="en-US"/>
        </w:rPr>
      </w:pPr>
      <w:r>
        <w:rPr>
          <w:rFonts w:cs="Arial" w:ascii="Arial" w:hAnsi="Arial"/>
          <w:sz w:val="24"/>
          <w:lang w:eastAsia="en-US"/>
        </w:rPr>
      </w:r>
    </w:p>
    <w:p>
      <w:pPr>
        <w:pStyle w:val="Normal"/>
        <w:rPr>
          <w:rFonts w:ascii="Arial" w:hAnsi="Arial" w:cs="Arial"/>
          <w:sz w:val="24"/>
          <w:lang w:eastAsia="en-US"/>
        </w:rPr>
      </w:pPr>
      <w:r>
        <w:rPr>
          <w:rFonts w:cs="Arial" w:ascii="Arial" w:hAnsi="Arial"/>
          <w:sz w:val="24"/>
          <w:lang w:eastAsia="en-US"/>
        </w:rPr>
        <w:t>Signs of cross subsidization, predatory pricing, and other coordinated anti-competitive practices have cropped up as well, even though these are forbidden under current Japanese law.  But no guidelines have been issued to specifically define what constitutes unfair practices in the electricity sector.  Also, after having introduced these partial reforms this Spring, the Japanese government intends to disband the government agency which created and defined them, and plans to wait to review progress until 2003.  Clearly progress review on such an important market function should be on-going, rather than on occasion or after a period of several years.  Enron is bullish on opportunities in the Japanese market, and we’ve recently opened and staffed an office in Tokyo which will trade energy and other commodities.  But the current liberalization process is not without opaqueness and challenges.</w:t>
      </w:r>
    </w:p>
    <w:p>
      <w:pPr>
        <w:pStyle w:val="Normal"/>
        <w:rPr>
          <w:rFonts w:ascii="Arial" w:hAnsi="Arial" w:eastAsia="Arial" w:cs="Arial"/>
          <w:sz w:val="24"/>
          <w:lang w:eastAsia="en-US"/>
        </w:rPr>
      </w:pPr>
      <w:r>
        <w:rPr>
          <w:rFonts w:eastAsia="Arial" w:cs="Arial" w:ascii="Arial" w:hAnsi="Arial"/>
          <w:sz w:val="24"/>
          <w:lang w:eastAsia="en-US"/>
        </w:rPr>
        <w:t xml:space="preserve"> </w:t>
      </w:r>
    </w:p>
    <w:p>
      <w:pPr>
        <w:pStyle w:val="Normal"/>
        <w:rPr/>
      </w:pPr>
      <w:r>
        <w:rPr>
          <w:rFonts w:cs="Arial" w:ascii="Arial" w:hAnsi="Arial"/>
          <w:sz w:val="24"/>
          <w:lang w:eastAsia="en-US"/>
        </w:rPr>
        <w:t xml:space="preserve">In </w:t>
      </w:r>
      <w:r>
        <w:rPr>
          <w:rFonts w:cs="Arial" w:ascii="Arial" w:hAnsi="Arial"/>
          <w:sz w:val="24"/>
          <w:u w:val="single"/>
          <w:lang w:eastAsia="en-US"/>
        </w:rPr>
        <w:t>Brazil</w:t>
      </w:r>
      <w:r>
        <w:rPr>
          <w:rFonts w:cs="Arial" w:ascii="Arial" w:hAnsi="Arial"/>
          <w:sz w:val="24"/>
          <w:lang w:eastAsia="en-US"/>
        </w:rPr>
        <w:t>, the s</w:t>
      </w:r>
      <w:r>
        <w:rPr>
          <w:rFonts w:cs="Arial" w:ascii="Arial" w:hAnsi="Arial"/>
          <w:color w:val="000000"/>
          <w:sz w:val="24"/>
          <w:lang w:eastAsia="en-US"/>
        </w:rPr>
        <w:t xml:space="preserve">cope and speed of the electric market restructuring created very challenging conditions.  The rapid unbundling of the state-owned electricity companies and the introduction of competition on the one hand, clashed directly with the lack of regulations and laws to govern the activities of new actors in the market. The lack of synchronism and harmony of different policies across each link in the energy production and delivery chain, and between the energy and the financial governmental sectors created disincentives to foreign investment in power plants.  </w:t>
      </w:r>
    </w:p>
    <w:p>
      <w:pPr>
        <w:pStyle w:val="Normal"/>
        <w:spacing w:before="240" w:after="60"/>
        <w:rPr/>
      </w:pPr>
      <w:r>
        <w:rPr>
          <w:rFonts w:cs="Arial" w:ascii="Arial" w:hAnsi="Arial"/>
          <w:sz w:val="24"/>
        </w:rPr>
        <w:t xml:space="preserve">In February 1999, there were regional energy shortages in Brazil, leading to a period of energy policy re-evaluation.  In September 1999, the Ministry of Mines and Energy announced its Action Plan—the so-called “Priority Plan”—to construct 17,000 MW of 49 gas-fired electric power plants by 2003.  The Priority Plan included 10 major components, the more troubling of which included </w:t>
      </w:r>
      <w:r>
        <w:rPr>
          <w:rFonts w:cs="Arial" w:ascii="Arial" w:hAnsi="Arial"/>
          <w:color w:val="000000"/>
          <w:sz w:val="24"/>
          <w:lang w:eastAsia="en-US"/>
        </w:rPr>
        <w:t xml:space="preserve">an automatic pass-through procedure for gas price/currency fluctuations, which in reality means that most independent power producers, or IPPs, are not capable of carrying this risk.  Also, a nation-wide state-administered gas price cap is to be set by Petrobras, the state-owned oil and gas company, for gas supplied for 8000 MW of the power.  As a result of this price cap, the government announced that imported gas prices were “too expensive” to fit under the cap, and this “made gas-fired plants not viable”. The solution was to force the gas prices to be lower by having Petrobras mix “cheaper” national gas with more “expensive” imported gas.  Thus, Petrobras extends its monopoly control over the power sector by pricing and supplying its own gas, through its own pipelines. This is clearly anti-competitive behavior.  </w:t>
      </w:r>
    </w:p>
    <w:p>
      <w:pPr>
        <w:pStyle w:val="BodyText3"/>
        <w:spacing w:before="240" w:after="60"/>
        <w:rPr/>
      </w:pPr>
      <w:r>
        <w:rPr/>
        <w:t>In addition, there are a host of other barriers to building power plants in Brazil.  These include lingering uncertainties as the market transitions between the old, central-control system and the new market system; competition for limited resources, ranging from turbines, to human resource constraints, to limited international financing in the current uncertain regulatory environment.  My point is that the rapid move to privatize the Brazilian power sector, combined with the new “Priority Plan” that directs future power to be fueled by natural gas, has resulted in a clear convergence in the gas and electricity sectors, which in many other countries would be viewed as a positive development.  Yet natural gas remains a monopoly sector in Brazil, and unless and until it is opened to competition, the power sector’s development will likely remain moribund, and serious energy shortages are likely.</w:t>
      </w:r>
    </w:p>
    <w:p>
      <w:pPr>
        <w:pStyle w:val="BodyText"/>
        <w:rPr>
          <w:b w:val="false"/>
          <w:color w:val="000000"/>
          <w:u w:val="none"/>
          <w:lang w:eastAsia="en-US"/>
        </w:rPr>
      </w:pPr>
      <w:r>
        <w:rPr>
          <w:b w:val="false"/>
          <w:color w:val="000000"/>
          <w:u w:val="none"/>
          <w:lang w:eastAsia="en-US"/>
        </w:rPr>
      </w:r>
    </w:p>
    <w:p>
      <w:pPr>
        <w:pStyle w:val="BodyText"/>
        <w:rPr/>
      </w:pPr>
      <w:r>
        <w:rPr>
          <w:b w:val="false"/>
          <w:color w:val="000000"/>
          <w:u w:val="none"/>
          <w:lang w:eastAsia="en-US"/>
        </w:rPr>
        <w:t xml:space="preserve">In </w:t>
      </w:r>
      <w:r>
        <w:rPr>
          <w:b w:val="false"/>
          <w:color w:val="000000"/>
          <w:lang w:eastAsia="en-US"/>
        </w:rPr>
        <w:t>Venezuela</w:t>
      </w:r>
      <w:r>
        <w:rPr>
          <w:b w:val="false"/>
          <w:color w:val="000000"/>
          <w:u w:val="none"/>
          <w:lang w:eastAsia="en-US"/>
        </w:rPr>
        <w:t xml:space="preserve">, an </w:t>
      </w:r>
      <w:r>
        <w:rPr>
          <w:b w:val="false"/>
          <w:u w:val="none"/>
        </w:rPr>
        <w:t>Electric Services Law was passed in September, 1999 that was intended to provide new "rules of the game" for the national electricity industry.  These were to include the specifying of generation and transmission activities, management of the National Grid, distribution and commercialization of electricity. The Venezuelan state acts as regulator.  In theory, all activities in the market, other than generation, are open to private participation.</w:t>
      </w:r>
    </w:p>
    <w:p>
      <w:pPr>
        <w:pStyle w:val="BodyText"/>
        <w:rPr>
          <w:b w:val="false"/>
          <w:u w:val="none"/>
        </w:rPr>
      </w:pPr>
      <w:r>
        <w:rPr>
          <w:b w:val="false"/>
          <w:u w:val="none"/>
        </w:rPr>
      </w:r>
    </w:p>
    <w:p>
      <w:pPr>
        <w:pStyle w:val="BodyText2"/>
        <w:rPr>
          <w:lang w:eastAsia="en-US"/>
        </w:rPr>
      </w:pPr>
      <w:r>
        <w:rPr>
          <w:lang w:eastAsia="en-US"/>
        </w:rPr>
        <w:t>However, a political fight that is currently occurring in the Venezuelan electric industry is an excellent example of how an incumbent utility can keep competition out, despite “open” policy regimes. To summarize briefly, a subsidiary of the state-owned Venezuelan electric utility filed an injunction against a joint venture between a local paper mill and a subsidiary of an American corporation, which had been producing electricity with significantly higher reliability and at lower prices than the utility.  The injunction claimed that the j.v. was illegally using its rights of way and threatening the stability of the power system. The injunction was admitted in January of this year, and a judge issued a stop and desist order against the joint venture.  Eventually, the National Guard was called in to restrict access to the j.v.’s assets.  Finally, the j.v. was ordered to stop selling energy altogether.  After this action by the judiciary, the regulators and the press have been silent.  Most observers in Venezuela believe that the j.v.’s position will prevail in the end, but the political clout of a domestic utilities in the face of competition is the formidable lesson here.</w:t>
      </w:r>
    </w:p>
    <w:p>
      <w:pPr>
        <w:pStyle w:val="BodyText2"/>
        <w:rPr>
          <w:lang w:eastAsia="en-US"/>
        </w:rPr>
      </w:pPr>
      <w:r>
        <w:rPr>
          <w:lang w:eastAsia="en-US"/>
        </w:rPr>
      </w:r>
    </w:p>
    <w:p>
      <w:pPr>
        <w:pStyle w:val="BodyText2"/>
        <w:rPr/>
      </w:pPr>
      <w:r>
        <w:rPr>
          <w:lang w:eastAsia="en-US"/>
        </w:rPr>
        <w:t xml:space="preserve">Power market liberalization in the </w:t>
      </w:r>
      <w:r>
        <w:rPr>
          <w:u w:val="single"/>
          <w:lang w:eastAsia="en-US"/>
        </w:rPr>
        <w:t>European Union</w:t>
      </w:r>
      <w:r>
        <w:rPr>
          <w:lang w:eastAsia="en-US"/>
        </w:rPr>
        <w:t xml:space="preserve"> could, and probably should be the topic of an entire day’s presentation.  To illustrate the disparities in the actions of different EU governments in meeting the the February 1997 Electricity Directive’s mandated 33% power market opening by 2003, retail competition exists down to the household level in the UK, Sweden and Finland, while France shows no signs of liberalizing its vertically-integrated state-owned power company EdF.  Other countries are somewhere in between.  The fact is that directives of the European Commission are characterized by a high level of generality.  The Commission prefers to leave it to the Member States to adopt specific measures and implementation strategies.  </w:t>
      </w:r>
    </w:p>
    <w:p>
      <w:pPr>
        <w:pStyle w:val="BodyText2"/>
        <w:rPr>
          <w:lang w:eastAsia="en-US"/>
        </w:rPr>
      </w:pPr>
      <w:r>
        <w:rPr>
          <w:lang w:eastAsia="en-US"/>
        </w:rPr>
      </w:r>
    </w:p>
    <w:p>
      <w:pPr>
        <w:pStyle w:val="BodyText2"/>
        <w:rPr>
          <w:lang w:eastAsia="en-US"/>
        </w:rPr>
      </w:pPr>
      <w:r>
        <w:rPr>
          <w:lang w:eastAsia="en-US"/>
        </w:rPr>
        <w:t>Besides implementing mandated reforms, the differences among regulatory bodies to oversea this process is equally telling.  History and experience are no prerequisite, as the French only created their energy regulator this Spring, Belgium did so just last year, and the Netherlands less than three years ago.  In a number of other cases, the regulatory bodies succumb to political pressures from Ministries of Finance, Industry, or the Treasury.  Any complaints about utilities’ practices in Germany, for example, must be taken directly to the Federal Cartel Office, or to the Courts.</w:t>
      </w:r>
    </w:p>
    <w:p>
      <w:pPr>
        <w:pStyle w:val="BodyText2"/>
        <w:rPr>
          <w:lang w:eastAsia="en-US"/>
        </w:rPr>
      </w:pPr>
      <w:r>
        <w:rPr>
          <w:lang w:eastAsia="en-US"/>
        </w:rPr>
      </w:r>
    </w:p>
    <w:p>
      <w:pPr>
        <w:pStyle w:val="BodyText2"/>
        <w:rPr/>
      </w:pPr>
      <w:r>
        <w:rPr/>
        <w:t>Interestingly, many of the issues in Continental Europe are issues that were confronted in the US.  First, in many of these markets, separation of functions between the operation of the power grid from the activity of the commodity or merchant supply business, has not taken place either formally, or, certainly, not effectively.  Examples where this is the case include France, Germany, the Netherlands, and Italy.  Moreover, even fewer countries have imposed penalties for breach of the requirement to separate these functions.  As a consequence, information Enron provides to the grid operator often, and quickly, finds its way into the hands of our competitors, and our competitors often receive market-sensitive information from the grid operator affiliates, giving them a competitive edge.</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 xml:space="preserve">Also, in those markets where the negotiated third party access model has been chosen, market entrants face not only high transaction costs and impaired market liquidity, but also the discriminatory aspect of having different terms and conditions of service than incumbents, which is the case in the German power market.  In many cases, the published terms and conditions are unreasonable (e.g., penalty levels), and often even lacking terms and conditions that commodity merchants would consider commercially significant. </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The final point I want to address today is the benefit of bringing electricity and other energy services into the WTO framework.  We have the opportunity, in one negotiation, to establish a global framework for competition in electricity and other energy services.  And we have an international forum in which we can resolve disputes when they arise.</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In order to ensure that the results of the ongoing GATS services negotiations are beneficial and meaningful, the WTO services negotiations need to achieve two primary objectives: open market access for energy services providers and a regulatory environment that allows genuine competition.  These two elements are mutually dependent.  Separately, neither will create a foundation for promoting full competition in electricity or elsewhere in energy sector.  I trust my examples have shown that market access commitments are meaningless without true regulatory reform.</w:t>
      </w:r>
    </w:p>
    <w:p>
      <w:pPr>
        <w:pStyle w:val="BodyText2"/>
        <w:rPr>
          <w:rFonts w:ascii="Arial" w:hAnsi="Arial" w:cs="Arial"/>
          <w:sz w:val="24"/>
          <w:lang w:eastAsia="en-US"/>
        </w:rPr>
      </w:pPr>
      <w:r>
        <w:rPr>
          <w:rFonts w:cs="Arial"/>
          <w:sz w:val="24"/>
          <w:lang w:eastAsia="en-US"/>
        </w:rPr>
      </w:r>
    </w:p>
    <w:p>
      <w:pPr>
        <w:pStyle w:val="Normal"/>
        <w:rPr/>
      </w:pPr>
      <w:r>
        <w:rPr>
          <w:rFonts w:cs="Arial" w:ascii="Arial" w:hAnsi="Arial"/>
          <w:sz w:val="24"/>
          <w:lang w:eastAsia="en-US"/>
        </w:rPr>
        <w:t xml:space="preserve">Allow me to conclude by repeating what I said at the outset. </w:t>
      </w:r>
      <w:r>
        <w:rPr>
          <w:rFonts w:cs="Arial" w:ascii="Arial" w:hAnsi="Arial"/>
          <w:sz w:val="24"/>
        </w:rPr>
        <w:t xml:space="preserve">Success in your efforts should be measured by more than new trading commitments, legislation, or policy pronouncements.  Success is in results.  And for a company like Enron, results are measured by </w:t>
      </w:r>
      <w:r>
        <w:rPr>
          <w:rFonts w:cs="Arial" w:ascii="Arial" w:hAnsi="Arial"/>
          <w:color w:val="000000"/>
          <w:sz w:val="24"/>
          <w:lang w:eastAsia="en-US"/>
        </w:rPr>
        <w:t>the percentage of penetration in local markets by competitive firms.  If you level the regulatory and policy playing fields in foreign power markets, Enron, and other American energy and services companies, can compete and will succeed anywhere.</w:t>
      </w:r>
    </w:p>
    <w:p>
      <w:pPr>
        <w:pStyle w:val="Normal"/>
        <w:rPr>
          <w:rFonts w:ascii="Arial" w:hAnsi="Arial" w:cs="Arial"/>
          <w:color w:val="000000"/>
          <w:sz w:val="24"/>
          <w:lang w:eastAsia="en-US"/>
        </w:rPr>
      </w:pPr>
      <w:r>
        <w:rPr>
          <w:rFonts w:cs="Arial" w:ascii="Arial" w:hAnsi="Arial"/>
          <w:color w:val="000000"/>
          <w:sz w:val="24"/>
          <w:lang w:eastAsia="en-US"/>
        </w:rPr>
      </w:r>
    </w:p>
    <w:p>
      <w:pPr>
        <w:pStyle w:val="Normal"/>
        <w:rPr>
          <w:rFonts w:ascii="Arial" w:hAnsi="Arial" w:cs="Arial"/>
          <w:color w:val="000000"/>
          <w:sz w:val="24"/>
          <w:lang w:eastAsia="en-US"/>
        </w:rPr>
      </w:pPr>
      <w:r>
        <w:rPr>
          <w:rFonts w:cs="Arial" w:ascii="Arial" w:hAnsi="Arial"/>
          <w:color w:val="000000"/>
          <w:sz w:val="24"/>
          <w:lang w:eastAsia="en-US"/>
        </w:rPr>
        <w:t>Thank you.</w:t>
      </w:r>
    </w:p>
    <w:p>
      <w:pPr>
        <w:pStyle w:val="BodyText2"/>
        <w:rPr>
          <w:rFonts w:ascii="Arial" w:hAnsi="Arial" w:cs="Arial"/>
          <w:color w:val="000000"/>
          <w:sz w:val="24"/>
          <w:lang w:eastAsia="en-US"/>
        </w:rPr>
      </w:pPr>
      <w:r>
        <w:rPr>
          <w:rFonts w:cs="Arial"/>
          <w:color w:val="000000"/>
          <w:sz w:val="24"/>
          <w:lang w:eastAsia="en-US"/>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u w:val="single"/>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St5z0">
    <w:name w:val="WW8NumSt5z0"/>
    <w:qFormat/>
    <w:rPr>
      <w:rFonts w:ascii="Wingdings" w:hAnsi="Wingdings" w:cs="Wingdings"/>
      <w:sz w:val="36"/>
    </w:rPr>
  </w:style>
  <w:style w:type="character" w:styleId="WW8NumSt6z0">
    <w:name w:val="WW8NumSt6z0"/>
    <w:qFormat/>
    <w:rPr>
      <w:rFonts w:ascii="Arial" w:hAnsi="Arial" w:cs="Arial"/>
      <w:sz w:val="30"/>
    </w:rPr>
  </w:style>
  <w:style w:type="character" w:styleId="WW8NumSt7z0">
    <w:name w:val="WW8NumSt7z0"/>
    <w:qFormat/>
    <w:rPr>
      <w:rFonts w:ascii="Arial" w:hAnsi="Arial" w:cs="Arial"/>
      <w:sz w:val="32"/>
    </w:rPr>
  </w:style>
  <w:style w:type="character" w:styleId="WW8NumSt9z0">
    <w:name w:val="WW8NumSt9z0"/>
    <w:qFormat/>
    <w:rPr>
      <w:rFonts w:ascii="Wingdings" w:hAnsi="Wingdings" w:cs="Wingdings"/>
      <w:sz w:val="32"/>
    </w:rPr>
  </w:style>
  <w:style w:type="character" w:styleId="WW8NumSt11z0">
    <w:name w:val="WW8NumSt11z0"/>
    <w:qFormat/>
    <w:rPr>
      <w:rFonts w:ascii="Arial" w:hAnsi="Arial" w:cs="Arial"/>
      <w:sz w:val="28"/>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b/>
      <w:sz w:val="24"/>
      <w:u w:val="single"/>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rFonts w:ascii="Arial" w:hAnsi="Arial" w:cs="Arial"/>
      <w:sz w:val="24"/>
    </w:rPr>
  </w:style>
  <w:style w:type="paragraph" w:styleId="BodyText3">
    <w:name w:val="Body Text 3"/>
    <w:basedOn w:val="Normal"/>
    <w:qFormat/>
    <w:pPr/>
    <w:rPr>
      <w:rFonts w:ascii="Arial" w:hAnsi="Arial" w:cs="Arial"/>
      <w:color w:val="000000"/>
      <w:sz w:val="24"/>
      <w:lang w:eastAsia="en-U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2000-07-05T01:14:00Z</dcterms:created>
  <dc:creator>sburns</dc:creator>
  <dc:description/>
  <dc:language>en-CA</dc:language>
  <cp:lastModifiedBy>sburns</cp:lastModifiedBy>
  <dcterms:modified xsi:type="dcterms:W3CDTF">2000-07-05T01:14:00Z</dcterms:modified>
  <cp:revision>2</cp:revision>
  <dc:subject/>
  <dc:title>Mr</dc:title>
</cp:coreProperties>
</file>