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r>
    </w:p>
    <w:p>
      <w:pPr>
        <w:pStyle w:val="Normal"/>
        <w:jc w:val="center"/>
        <w:rPr>
          <w:b/>
        </w:rPr>
      </w:pPr>
      <w:r>
        <w:rPr>
          <w:b/>
        </w:rPr>
        <w:t>ENRON NORTH AMERICA CORP.</w:t>
      </w:r>
    </w:p>
    <w:p>
      <w:pPr>
        <w:pStyle w:val="Normal"/>
        <w:jc w:val="center"/>
        <w:rPr>
          <w:b/>
        </w:rPr>
      </w:pPr>
      <w:r>
        <w:rPr>
          <w:b/>
        </w:rPr>
      </w:r>
    </w:p>
    <w:p>
      <w:pPr>
        <w:pStyle w:val="Normal"/>
        <w:jc w:val="center"/>
        <w:rPr>
          <w:b/>
        </w:rPr>
      </w:pPr>
      <w:r>
        <w:rPr>
          <w:b/>
        </w:rPr>
        <w:t>CALPINE CORPORATION</w:t>
      </w:r>
    </w:p>
    <w:p>
      <w:pPr>
        <w:pStyle w:val="Normal"/>
        <w:jc w:val="center"/>
        <w:rPr>
          <w:b/>
        </w:rPr>
      </w:pPr>
      <w:r>
        <w:rPr>
          <w:b/>
        </w:rPr>
      </w:r>
    </w:p>
    <w:p>
      <w:pPr>
        <w:pStyle w:val="Normal"/>
        <w:jc w:val="center"/>
        <w:rPr>
          <w:b/>
        </w:rPr>
      </w:pPr>
      <w:r>
        <w:rPr>
          <w:b/>
        </w:rPr>
        <w:t xml:space="preserve">SUMMARY OF CERTAIN TERMS AND CONDITIONS </w:t>
      </w:r>
    </w:p>
    <w:p>
      <w:pPr>
        <w:pStyle w:val="Normal"/>
        <w:jc w:val="center"/>
        <w:rPr>
          <w:b/>
        </w:rPr>
      </w:pPr>
      <w:r>
        <w:rPr>
          <w:b/>
        </w:rPr>
      </w:r>
    </w:p>
    <w:p>
      <w:pPr>
        <w:pStyle w:val="Normal"/>
        <w:jc w:val="center"/>
        <w:rPr>
          <w:b/>
        </w:rPr>
      </w:pPr>
      <w:r>
        <w:rPr>
          <w:b/>
        </w:rPr>
        <w:t>Discussion Purposes Only</w:t>
      </w:r>
    </w:p>
    <w:p>
      <w:pPr>
        <w:pStyle w:val="Normal"/>
        <w:jc w:val="center"/>
        <w:rPr>
          <w:b/>
        </w:rPr>
      </w:pPr>
      <w:r>
        <w:rPr>
          <w:b/>
        </w:rPr>
        <w:t>(Subject to Due Diligence and Legal Review)</w:t>
      </w:r>
    </w:p>
    <w:p>
      <w:pPr>
        <w:pStyle w:val="Normal"/>
        <w:jc w:val="center"/>
        <w:rPr>
          <w:b/>
        </w:rPr>
      </w:pPr>
      <w:r>
        <w:rPr>
          <w:b/>
        </w:rPr>
      </w:r>
    </w:p>
    <w:p>
      <w:pPr>
        <w:pStyle w:val="Normal"/>
        <w:jc w:val="both"/>
        <w:rPr>
          <w:b/>
          <w:smallCaps/>
          <w:sz w:val="20"/>
        </w:rPr>
      </w:pPr>
      <w:r>
        <w:rPr>
          <w:b/>
          <w:smallCaps/>
          <w:sz w:val="20"/>
        </w:rPr>
        <w:t>the terms of any Definitive Agreement(s) concerning the subject matter hereof will supersede and replace any summary of such terms as stated HEREIN.  This proposed summary of terms is for discussion purposes only and is not complete and is not all-inclusive of the terms of the proposed transaction.  It does not create, and is not intended to create, any binding obligation or offer to any party or parties (all of which will be created, if at all, only by binding, definitive documents among the parties) or any duty or obligation of good faith or otherwise on any person to negotiate binding, definitive documents.  This proposed summary of terms may not be relied upon by any person as the basis for a contract by esptoppel or otherwise, AND CONSTITUTE THE PROPRIETARY INFORMATION AND WORK PRODUCT OF ENRON NORTH AMERICA AND IS TO BE HELD CONFIDENTIAL AND NOT DISCLOSED TO ANY THIRD PARTY.</w:t>
      </w:r>
    </w:p>
    <w:p>
      <w:pPr>
        <w:pStyle w:val="Normal"/>
        <w:jc w:val="both"/>
        <w:rPr>
          <w:b/>
          <w:smallCaps/>
          <w:sz w:val="20"/>
        </w:rPr>
      </w:pPr>
      <w:r>
        <w:rPr>
          <w:b/>
          <w:smallCaps/>
          <w:sz w:val="20"/>
        </w:rPr>
      </w:r>
    </w:p>
    <w:p>
      <w:pPr>
        <w:pStyle w:val="Normal"/>
        <w:rPr>
          <w:b/>
          <w:smallCaps/>
        </w:rPr>
      </w:pPr>
      <w:r>
        <w:rPr>
          <w:b/>
          <w:smallCaps/>
        </w:rPr>
      </w:r>
    </w:p>
    <w:p>
      <w:pPr>
        <w:pStyle w:val="Heading2"/>
        <w:ind w:hanging="0" w:start="0"/>
        <w:rPr>
          <w:u w:val="single"/>
        </w:rPr>
      </w:pPr>
      <w:r>
        <w:rPr>
          <w:u w:val="single"/>
        </w:rPr>
        <w:t>PROJECT DESCRIPTION</w:t>
      </w:r>
    </w:p>
    <w:p>
      <w:pPr>
        <w:pStyle w:val="Normal"/>
        <w:rPr>
          <w:sz w:val="22"/>
          <w:u w:val="single"/>
        </w:rPr>
      </w:pPr>
      <w:r>
        <w:rPr>
          <w:sz w:val="22"/>
          <w:u w:val="single"/>
        </w:rPr>
      </w:r>
    </w:p>
    <w:p>
      <w:pPr>
        <w:pStyle w:val="Normal"/>
        <w:jc w:val="both"/>
        <w:rPr>
          <w:sz w:val="22"/>
        </w:rPr>
      </w:pPr>
      <w:r>
        <w:rPr>
          <w:sz w:val="22"/>
        </w:rPr>
        <w:t xml:space="preserve">Enron North America Corp. (“ENA”) would sell natural gas and, at a later date, would permanently release its pipeline capacity on the Pacific Gas Transmission Company – Northwest (“PGT”) interstate pipeline to Calpine Corporation (“Calpine”) subject to the terms and conditions set forth herein. </w:t>
      </w:r>
    </w:p>
    <w:p>
      <w:pPr>
        <w:pStyle w:val="Normal"/>
        <w:rPr>
          <w:b/>
          <w:smallCaps/>
          <w:sz w:val="22"/>
        </w:rPr>
      </w:pPr>
      <w:r>
        <w:rPr>
          <w:b/>
          <w:smallCaps/>
          <w:sz w:val="22"/>
        </w:rPr>
      </w:r>
    </w:p>
    <w:p>
      <w:pPr>
        <w:pStyle w:val="Normal"/>
        <w:rPr>
          <w:b/>
          <w:smallCaps/>
        </w:rPr>
      </w:pPr>
      <w:r>
        <w:rPr>
          <w:b/>
          <w:smallCaps/>
        </w:rPr>
      </w:r>
    </w:p>
    <w:p>
      <w:pPr>
        <w:pStyle w:val="Heading1"/>
        <w:ind w:hanging="0" w:start="0"/>
        <w:rPr>
          <w:u w:val="single"/>
        </w:rPr>
      </w:pPr>
      <w:r>
        <w:rPr>
          <w:u w:val="single"/>
        </w:rPr>
        <w:t xml:space="preserve">Index Sale Terms &amp; Conditions </w:t>
      </w:r>
    </w:p>
    <w:p>
      <w:pPr>
        <w:pStyle w:val="Header"/>
        <w:tabs>
          <w:tab w:val="clear" w:pos="4680"/>
          <w:tab w:val="clear" w:pos="9360"/>
        </w:tabs>
        <w:rPr>
          <w:u w:val="single"/>
        </w:rPr>
      </w:pPr>
      <w:r>
        <w:rPr>
          <w:u w:val="single"/>
        </w:rPr>
      </w:r>
    </w:p>
    <w:p>
      <w:pPr>
        <w:pStyle w:val="Header"/>
        <w:tabs>
          <w:tab w:val="clear" w:pos="4680"/>
          <w:tab w:val="clear" w:pos="9360"/>
          <w:tab w:val="left" w:pos="2880" w:leader="none"/>
        </w:tabs>
        <w:rPr/>
      </w:pPr>
      <w:r>
        <w:rPr>
          <w:b/>
          <w:u w:val="single"/>
        </w:rPr>
        <w:t>Seller</w:t>
      </w:r>
      <w:r>
        <w:rPr>
          <w:b/>
        </w:rPr>
        <w:tab/>
      </w:r>
      <w:r>
        <w:rPr/>
        <w:t>ENA</w:t>
      </w:r>
    </w:p>
    <w:p>
      <w:pPr>
        <w:pStyle w:val="Header"/>
        <w:tabs>
          <w:tab w:val="clear" w:pos="4680"/>
          <w:tab w:val="clear" w:pos="9360"/>
          <w:tab w:val="left" w:pos="2880" w:leader="none"/>
        </w:tabs>
        <w:rPr/>
      </w:pPr>
      <w:r>
        <w:rPr/>
      </w:r>
    </w:p>
    <w:p>
      <w:pPr>
        <w:pStyle w:val="Header"/>
        <w:tabs>
          <w:tab w:val="clear" w:pos="4680"/>
          <w:tab w:val="clear" w:pos="9360"/>
          <w:tab w:val="left" w:pos="2880" w:leader="none"/>
        </w:tabs>
        <w:rPr/>
      </w:pPr>
      <w:r>
        <w:rPr>
          <w:b/>
          <w:u w:val="single"/>
        </w:rPr>
        <w:t>Buyer</w:t>
      </w:r>
      <w:r>
        <w:rPr/>
        <w:tab/>
        <w:t>Calpine</w:t>
      </w:r>
    </w:p>
    <w:p>
      <w:pPr>
        <w:pStyle w:val="Header"/>
        <w:tabs>
          <w:tab w:val="clear" w:pos="4680"/>
          <w:tab w:val="clear" w:pos="9360"/>
          <w:tab w:val="left" w:pos="2880" w:leader="none"/>
        </w:tabs>
        <w:rPr/>
      </w:pPr>
      <w:r>
        <w:rPr/>
      </w:r>
    </w:p>
    <w:p>
      <w:pPr>
        <w:pStyle w:val="Normal"/>
        <w:tabs>
          <w:tab w:val="clear" w:pos="720"/>
          <w:tab w:val="left" w:pos="2880" w:leader="none"/>
        </w:tabs>
        <w:rPr/>
      </w:pPr>
      <w:r>
        <w:rPr>
          <w:b/>
          <w:u w:val="single"/>
        </w:rPr>
        <w:t>Term</w:t>
      </w:r>
      <w:r>
        <w:rPr/>
        <w:tab/>
        <w:t>May 1, 2001 – October 31, 2008</w:t>
      </w:r>
    </w:p>
    <w:p>
      <w:pPr>
        <w:pStyle w:val="Normal"/>
        <w:tabs>
          <w:tab w:val="clear" w:pos="720"/>
          <w:tab w:val="left" w:pos="2880" w:leader="none"/>
        </w:tabs>
        <w:rPr/>
      </w:pPr>
      <w:r>
        <w:rPr/>
      </w:r>
    </w:p>
    <w:p>
      <w:pPr>
        <w:pStyle w:val="Normal"/>
        <w:tabs>
          <w:tab w:val="clear" w:pos="720"/>
          <w:tab w:val="left" w:pos="2880" w:leader="none"/>
        </w:tabs>
        <w:rPr/>
      </w:pPr>
      <w:r>
        <w:rPr>
          <w:b/>
          <w:u w:val="single"/>
        </w:rPr>
        <w:t>Product</w:t>
      </w:r>
      <w:r>
        <w:rPr/>
        <w:tab/>
        <w:t xml:space="preserve">Natural gas </w:t>
      </w:r>
    </w:p>
    <w:p>
      <w:pPr>
        <w:pStyle w:val="Header"/>
        <w:tabs>
          <w:tab w:val="clear" w:pos="4680"/>
          <w:tab w:val="clear" w:pos="9360"/>
          <w:tab w:val="left" w:pos="2880" w:leader="none"/>
        </w:tabs>
        <w:rPr/>
      </w:pPr>
      <w:r>
        <w:rPr/>
      </w:r>
    </w:p>
    <w:p>
      <w:pPr>
        <w:pStyle w:val="BodyTextIndent"/>
        <w:rPr/>
      </w:pPr>
      <w:r>
        <w:rPr>
          <w:b/>
          <w:u w:val="single"/>
        </w:rPr>
        <w:t>Primary Delivery Point</w:t>
      </w:r>
      <w:r>
        <w:rPr/>
        <w:tab/>
        <w:t>The interconnect between PGT and the Pacific Gas &amp; Electric Company located near Malin, Oregon (“Malin”).</w:t>
      </w:r>
    </w:p>
    <w:p>
      <w:pPr>
        <w:pStyle w:val="Normal"/>
        <w:tabs>
          <w:tab w:val="clear" w:pos="720"/>
          <w:tab w:val="left" w:pos="2880" w:leader="none"/>
        </w:tabs>
        <w:rPr/>
      </w:pPr>
      <w:r>
        <w:rPr/>
      </w:r>
    </w:p>
    <w:p>
      <w:pPr>
        <w:pStyle w:val="Normal"/>
        <w:tabs>
          <w:tab w:val="clear" w:pos="720"/>
          <w:tab w:val="left" w:pos="2880" w:leader="none"/>
        </w:tabs>
        <w:ind w:hanging="2880" w:start="2880" w:end="0"/>
        <w:rPr/>
      </w:pPr>
      <w:r>
        <w:rPr>
          <w:b/>
          <w:u w:val="single"/>
        </w:rPr>
        <w:t>Alternate Delivery Point</w:t>
      </w:r>
      <w:r>
        <w:rPr/>
        <w:tab/>
        <w:t xml:space="preserve">All points available on the PGT pipeline system, subject to nomination and scheduling guidelines as set forth in PGT’s FERC gas tariff. </w:t>
      </w:r>
    </w:p>
    <w:p>
      <w:pPr>
        <w:pStyle w:val="Header"/>
        <w:tabs>
          <w:tab w:val="clear" w:pos="4680"/>
          <w:tab w:val="clear" w:pos="9360"/>
          <w:tab w:val="left" w:pos="2880" w:leader="none"/>
        </w:tabs>
        <w:rPr/>
      </w:pPr>
      <w:r>
        <w:rPr/>
      </w:r>
    </w:p>
    <w:p>
      <w:pPr>
        <w:pStyle w:val="Normal"/>
        <w:tabs>
          <w:tab w:val="clear" w:pos="720"/>
          <w:tab w:val="left" w:pos="2880" w:leader="none"/>
        </w:tabs>
        <w:ind w:hanging="2880" w:start="2880" w:end="0"/>
        <w:rPr/>
      </w:pPr>
      <w:r>
        <w:rPr>
          <w:b/>
          <w:u w:val="single"/>
        </w:rPr>
        <w:t>Quantity</w:t>
      </w:r>
      <w:r>
        <w:rPr>
          <w:b/>
        </w:rPr>
        <w:tab/>
      </w:r>
      <w:r>
        <w:rPr/>
        <w:t xml:space="preserve">37,500 MMbtu/day  </w:t>
      </w:r>
    </w:p>
    <w:p>
      <w:pPr>
        <w:pStyle w:val="Normal"/>
        <w:tabs>
          <w:tab w:val="clear" w:pos="720"/>
          <w:tab w:val="left" w:pos="2880" w:leader="none"/>
        </w:tabs>
        <w:ind w:hanging="2880" w:start="2880" w:end="0"/>
        <w:rPr/>
      </w:pPr>
      <w:r>
        <w:rPr/>
        <w:tab/>
      </w:r>
    </w:p>
    <w:p>
      <w:pPr>
        <w:pStyle w:val="Normal"/>
        <w:tabs>
          <w:tab w:val="clear" w:pos="720"/>
          <w:tab w:val="left" w:pos="2880" w:leader="none"/>
        </w:tabs>
        <w:ind w:start="2880" w:end="0"/>
        <w:rPr>
          <w:b/>
        </w:rPr>
      </w:pPr>
      <w:r>
        <w:rPr>
          <w:b/>
        </w:rPr>
      </w:r>
    </w:p>
    <w:p>
      <w:pPr>
        <w:pStyle w:val="Normal"/>
        <w:tabs>
          <w:tab w:val="clear" w:pos="720"/>
          <w:tab w:val="left" w:pos="2880" w:leader="none"/>
        </w:tabs>
        <w:ind w:hanging="2880" w:start="2880" w:end="0"/>
        <w:rPr/>
      </w:pPr>
      <w:r>
        <w:rPr>
          <w:b/>
          <w:u w:val="single"/>
        </w:rPr>
        <w:t>Contract Price</w:t>
      </w:r>
      <w:r>
        <w:rPr/>
        <w:tab/>
        <w:t>May 1, 2001 – October 31, 2001 (Initial Pricing Term)</w:t>
      </w:r>
    </w:p>
    <w:p>
      <w:pPr>
        <w:pStyle w:val="Normal"/>
        <w:tabs>
          <w:tab w:val="clear" w:pos="720"/>
          <w:tab w:val="left" w:pos="2880" w:leader="none"/>
        </w:tabs>
        <w:ind w:hanging="2880" w:start="2880" w:end="0"/>
        <w:rPr>
          <w:b/>
          <w:u w:val="single"/>
        </w:rPr>
      </w:pPr>
      <w:r>
        <w:rPr/>
        <w:tab/>
        <w:t xml:space="preserve">The monthly index price published in Natural Gas Intelligence for the applicable delivery month, as specified in the table entitled “California Border &amp; Non-Utility End-User Citygate Tables” in the column for “Bidweek Avg” in the row for “Malin”, OR (400 line) {hereafter the “Contract Index”)”, </w:t>
      </w:r>
      <w:r>
        <w:rPr>
          <w:u w:val="single"/>
        </w:rPr>
        <w:t>less</w:t>
      </w:r>
      <w:r>
        <w:rPr/>
        <w:t xml:space="preserve"> $.3875/MMbtu.</w:t>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tab/>
        <w:t>Nov 1, 2001 – October 31, 2003 (Secondary Pricing Term)</w:t>
      </w:r>
    </w:p>
    <w:p>
      <w:pPr>
        <w:pStyle w:val="Normal"/>
        <w:tabs>
          <w:tab w:val="clear" w:pos="720"/>
          <w:tab w:val="left" w:pos="2880" w:leader="none"/>
        </w:tabs>
        <w:ind w:hanging="2880" w:start="2880" w:end="0"/>
        <w:rPr/>
      </w:pPr>
      <w:r>
        <w:rPr/>
        <w:tab/>
        <w:t xml:space="preserve">The contract price applicable to the above referenced period shall be determined based on ENA’s and Calpine’s respective experiences with gas prices and transportation differentials to the Delivery Points during the Initial Pricing Term.  At any time between May 1, 2000 and October 1, 2000, either ENA or Calpine may call a meeting for the purpose of discussing the amount that should be added to the Contract Index (the “Pricing Increment”) in determining the gas price applicable throughout the Secondary Pricing Term.  Each party would agree to participate and cooperate in the determination the Pricing Increment.  If such a meeting is called and the parties are not able to agree upon the Pricing Increment, or if no such meeting is held during the period described above then the default price for the Secondary Pricing Term shall be the monthly index price published in Natural Gas Intelligence for the applicable delivery month, as specified in the table entitled “California Border &amp; Non-Utility End-User Citygate Tables” in the column for “Bidweek Avg” in the row for “Malin”, OR (400 line)”, </w:t>
      </w:r>
      <w:r>
        <w:rPr>
          <w:u w:val="single"/>
        </w:rPr>
        <w:t>plus</w:t>
      </w:r>
      <w:r>
        <w:rPr/>
        <w:t xml:space="preserve"> $.03/Mmbtu.</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t xml:space="preserve"> </w:t>
      </w:r>
      <w:r>
        <w:rPr/>
        <w:tab/>
      </w:r>
      <w:r>
        <w:rPr>
          <w:b/>
          <w:u w:val="single"/>
        </w:rPr>
        <w:t>Alternate Contract Price</w:t>
      </w:r>
      <w:r>
        <w:rPr/>
        <w:tab/>
        <w:t>For quantities delivered to an alternate delivery point, the contract price shall be adjusted to reflect the difference between 100% of the applicable variable transportation charges, as set forth in PGT’s tariff, for contract path between Kingsgate and Malin, and the actual variable transportation charges assessed by PGT from Kingsgate to the secondary delivery point. Variable charges are defined as the mileage-based fuel and mileage based delivery charge components set forth in PGT’s FERC gas tariff.</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b/>
          <w:u w:val="single"/>
        </w:rPr>
        <w:t>Imbalance Provisions</w:t>
      </w:r>
      <w:r>
        <w:rPr/>
        <w:tab/>
        <w:t>Calpine shall be responsible for any imbalance penalties charged as a result of Calpine’s overburn or underburn relative to scheduled quantities.</w:t>
      </w:r>
    </w:p>
    <w:p>
      <w:pPr>
        <w:pStyle w:val="Normal"/>
        <w:tabs>
          <w:tab w:val="clear" w:pos="720"/>
          <w:tab w:val="left" w:pos="2880" w:leader="none"/>
        </w:tabs>
        <w:ind w:hanging="2880" w:start="2880" w:end="0"/>
        <w:rPr>
          <w:b/>
        </w:rPr>
      </w:pPr>
      <w:r>
        <w:rPr>
          <w:b/>
        </w:rPr>
      </w:r>
    </w:p>
    <w:p>
      <w:pPr>
        <w:pStyle w:val="Normal"/>
        <w:tabs>
          <w:tab w:val="clear" w:pos="720"/>
          <w:tab w:val="left" w:pos="2880" w:leader="none"/>
        </w:tabs>
        <w:ind w:hanging="2880" w:start="2880" w:end="0"/>
        <w:rPr/>
      </w:pPr>
      <w:r>
        <w:rPr>
          <w:b/>
          <w:u w:val="single"/>
        </w:rPr>
        <w:t>Force Majeure</w:t>
      </w:r>
      <w:r>
        <w:rPr/>
        <w:t xml:space="preserve"> </w:t>
        <w:tab/>
        <w:t xml:space="preserve">ENA shall have the right to curtail delivery to Calpine based on Force Majeure on ENA’s applicable transportation ( Nova, ANG and PGT ). </w:t>
        <w:tab/>
      </w:r>
    </w:p>
    <w:p>
      <w:pPr>
        <w:pStyle w:val="Normal"/>
        <w:tabs>
          <w:tab w:val="clear" w:pos="720"/>
          <w:tab w:val="left" w:pos="2880" w:leader="none"/>
        </w:tabs>
        <w:ind w:hanging="2880" w:start="2880" w:end="0"/>
        <w:rPr/>
      </w:pPr>
      <w:r>
        <w:rPr/>
        <w:tab/>
      </w:r>
    </w:p>
    <w:p>
      <w:pPr>
        <w:pStyle w:val="Heading1"/>
        <w:ind w:hanging="0" w:start="0"/>
        <w:rPr>
          <w:u w:val="single"/>
        </w:rPr>
      </w:pPr>
      <w:r>
        <w:rPr>
          <w:u w:val="single"/>
        </w:rPr>
        <w:t xml:space="preserve">Permanent Release – PGT Capacity </w:t>
      </w:r>
    </w:p>
    <w:p>
      <w:pPr>
        <w:pStyle w:val="Header"/>
        <w:tabs>
          <w:tab w:val="clear" w:pos="4680"/>
          <w:tab w:val="clear" w:pos="9360"/>
        </w:tabs>
        <w:rPr>
          <w:u w:val="single"/>
        </w:rPr>
      </w:pPr>
      <w:r>
        <w:rPr>
          <w:u w:val="single"/>
        </w:rPr>
      </w:r>
    </w:p>
    <w:p>
      <w:pPr>
        <w:pStyle w:val="Header"/>
        <w:tabs>
          <w:tab w:val="clear" w:pos="4680"/>
          <w:tab w:val="clear" w:pos="9360"/>
        </w:tabs>
        <w:rPr/>
      </w:pPr>
      <w:r>
        <w:rPr/>
      </w:r>
    </w:p>
    <w:p>
      <w:pPr>
        <w:pStyle w:val="Normal"/>
        <w:tabs>
          <w:tab w:val="clear" w:pos="720"/>
          <w:tab w:val="left" w:pos="2880" w:leader="none"/>
        </w:tabs>
        <w:rPr/>
      </w:pPr>
      <w:r>
        <w:rPr>
          <w:b/>
          <w:u w:val="single"/>
        </w:rPr>
        <w:t>Period of Assignment</w:t>
      </w:r>
      <w:r>
        <w:rPr>
          <w:b/>
        </w:rPr>
        <w:t xml:space="preserve"> </w:t>
        <w:tab/>
      </w:r>
      <w:r>
        <w:rPr/>
        <w:t>November 1, 2008 – October 31, 2023</w:t>
      </w:r>
    </w:p>
    <w:p>
      <w:pPr>
        <w:pStyle w:val="Normal"/>
        <w:tabs>
          <w:tab w:val="clear" w:pos="720"/>
          <w:tab w:val="left" w:pos="2880" w:leader="none"/>
        </w:tabs>
        <w:rPr/>
      </w:pPr>
      <w:r>
        <w:rPr/>
      </w:r>
    </w:p>
    <w:p>
      <w:pPr>
        <w:pStyle w:val="Normal"/>
        <w:ind w:hanging="2880" w:start="2880" w:end="0"/>
        <w:rPr/>
      </w:pPr>
      <w:r>
        <w:rPr>
          <w:b/>
          <w:u w:val="single"/>
        </w:rPr>
        <w:t>Product</w:t>
      </w:r>
      <w:r>
        <w:rPr/>
        <w:tab/>
        <w:t xml:space="preserve">In compliance with PGT’s FERC gas tariff, </w:t>
      </w:r>
      <w:r>
        <w:rPr>
          <w:sz w:val="22"/>
        </w:rPr>
        <w:t xml:space="preserve">ENA would permanently release its pipeline capacity on PGT to Calpine at 100% of PGT’s FERC approved transportation rates pursuant to Rate Schedule FTS-1, plus the applicable MRRS surcharge. </w:t>
      </w:r>
    </w:p>
    <w:p>
      <w:pPr>
        <w:pStyle w:val="Normal"/>
        <w:rPr>
          <w:sz w:val="22"/>
        </w:rPr>
      </w:pPr>
      <w:r>
        <w:rPr>
          <w:sz w:val="22"/>
        </w:rPr>
      </w:r>
    </w:p>
    <w:p>
      <w:pPr>
        <w:pStyle w:val="Normal"/>
        <w:tabs>
          <w:tab w:val="clear" w:pos="720"/>
          <w:tab w:val="left" w:pos="2880" w:leader="none"/>
        </w:tabs>
        <w:ind w:hanging="2880" w:start="2880" w:end="0"/>
        <w:rPr/>
      </w:pPr>
      <w:r>
        <w:rPr>
          <w:b/>
          <w:u w:val="single"/>
        </w:rPr>
        <w:t>Primary Receipt Point</w:t>
      </w:r>
      <w:r>
        <w:rPr>
          <w:b/>
        </w:rPr>
        <w:tab/>
      </w:r>
      <w:r>
        <w:rPr/>
        <w:t>The interconnect between Alberta Natural Gas Company (“ANG”) and PGT at Kingsgate, British Columbia (“Kingsgate”), on the Canadian side of the international border.</w:t>
      </w:r>
    </w:p>
    <w:p>
      <w:pPr>
        <w:pStyle w:val="Header"/>
        <w:tabs>
          <w:tab w:val="clear" w:pos="4680"/>
          <w:tab w:val="clear" w:pos="9360"/>
          <w:tab w:val="left" w:pos="2880" w:leader="none"/>
        </w:tabs>
        <w:rPr/>
      </w:pPr>
      <w:r>
        <w:rPr/>
      </w:r>
    </w:p>
    <w:p>
      <w:pPr>
        <w:pStyle w:val="BodyTextIndent"/>
        <w:rPr/>
      </w:pPr>
      <w:r>
        <w:rPr>
          <w:b/>
          <w:u w:val="single"/>
        </w:rPr>
        <w:t>Primary Delivery Point</w:t>
      </w:r>
      <w:r>
        <w:rPr/>
        <w:tab/>
        <w:t>The interconnect between PGT and the Pacific Gas &amp; Electric Company located near Malin, Oregon (“Malin”).</w:t>
      </w:r>
    </w:p>
    <w:p>
      <w:pPr>
        <w:pStyle w:val="Normal"/>
        <w:tabs>
          <w:tab w:val="clear" w:pos="720"/>
          <w:tab w:val="left" w:pos="2880" w:leader="none"/>
        </w:tabs>
        <w:rPr/>
      </w:pPr>
      <w:r>
        <w:rPr/>
      </w:r>
    </w:p>
    <w:p>
      <w:pPr>
        <w:pStyle w:val="Normal"/>
        <w:tabs>
          <w:tab w:val="clear" w:pos="720"/>
          <w:tab w:val="left" w:pos="2880" w:leader="none"/>
        </w:tabs>
        <w:ind w:hanging="2880" w:start="2880" w:end="0"/>
        <w:rPr/>
      </w:pPr>
      <w:r>
        <w:rPr>
          <w:b/>
          <w:u w:val="single"/>
        </w:rPr>
        <w:t>Secondary Delivery Point(s)</w:t>
      </w:r>
      <w:r>
        <w:rPr/>
        <w:tab/>
        <w:t xml:space="preserve">All points available on the PGT pipeline system, subject to nomination and scheduling guidelines as set forth in PGT’s  FERC Gas tariff. </w:t>
      </w:r>
    </w:p>
    <w:p>
      <w:pPr>
        <w:pStyle w:val="Header"/>
        <w:tabs>
          <w:tab w:val="clear" w:pos="4680"/>
          <w:tab w:val="clear" w:pos="9360"/>
          <w:tab w:val="left" w:pos="2880" w:leader="none"/>
        </w:tabs>
        <w:rPr/>
      </w:pPr>
      <w:r>
        <w:rPr/>
      </w:r>
    </w:p>
    <w:p>
      <w:pPr>
        <w:pStyle w:val="Normal"/>
        <w:tabs>
          <w:tab w:val="clear" w:pos="720"/>
          <w:tab w:val="left" w:pos="2880" w:leader="none"/>
        </w:tabs>
        <w:ind w:hanging="2880" w:start="2880" w:end="0"/>
        <w:rPr/>
      </w:pPr>
      <w:r>
        <w:rPr>
          <w:b/>
          <w:u w:val="single"/>
        </w:rPr>
        <w:t>Delivered Quantity</w:t>
      </w:r>
      <w:r>
        <w:rPr>
          <w:b/>
        </w:rPr>
        <w:tab/>
      </w:r>
      <w:r>
        <w:rPr/>
        <w:t>67,500 MMBtu/day</w:t>
      </w:r>
      <w:r>
        <w:rPr>
          <w:b/>
        </w:rPr>
        <w:t xml:space="preserve">  </w:t>
      </w:r>
    </w:p>
    <w:p>
      <w:pPr>
        <w:pStyle w:val="Normal"/>
        <w:tabs>
          <w:tab w:val="clear" w:pos="720"/>
          <w:tab w:val="left" w:pos="2880" w:leader="none"/>
        </w:tabs>
        <w:ind w:hanging="2880" w:start="2880" w:end="0"/>
        <w:rPr/>
      </w:pPr>
      <w:r>
        <w:rPr/>
        <w:tab/>
      </w:r>
    </w:p>
    <w:p>
      <w:pPr>
        <w:pStyle w:val="Normal"/>
        <w:tabs>
          <w:tab w:val="clear" w:pos="720"/>
          <w:tab w:val="left" w:pos="2880" w:leader="none"/>
        </w:tabs>
        <w:ind w:start="2880" w:end="0"/>
        <w:rPr>
          <w:b/>
        </w:rPr>
      </w:pPr>
      <w:r>
        <w:rPr>
          <w:b/>
        </w:rPr>
      </w:r>
      <w:r>
        <w:br w:type="page"/>
      </w:r>
    </w:p>
    <w:p>
      <w:pPr>
        <w:pStyle w:val="Heading4"/>
        <w:rPr/>
      </w:pPr>
      <w:r>
        <w:rPr/>
        <w:t>TRANSFER OF CANADIAN CAPACITY</w:t>
      </w:r>
    </w:p>
    <w:p>
      <w:pPr>
        <w:pStyle w:val="Normal"/>
        <w:tabs>
          <w:tab w:val="clear" w:pos="720"/>
          <w:tab w:val="left" w:pos="2880" w:leader="none"/>
        </w:tabs>
        <w:ind w:hanging="2880" w:start="2880" w:end="0"/>
        <w:rPr>
          <w:b/>
        </w:rPr>
      </w:pPr>
      <w:r>
        <w:rPr>
          <w:b/>
        </w:rPr>
      </w:r>
    </w:p>
    <w:p>
      <w:pPr>
        <w:pStyle w:val="Normal"/>
        <w:tabs>
          <w:tab w:val="clear" w:pos="720"/>
          <w:tab w:val="left" w:pos="2880" w:leader="none"/>
        </w:tabs>
        <w:ind w:hanging="2880" w:start="2880" w:end="0"/>
        <w:rPr>
          <w:b/>
          <w:u w:val="single"/>
        </w:rPr>
      </w:pPr>
      <w:r>
        <w:rPr>
          <w:b/>
          <w:u w:val="single"/>
        </w:rPr>
        <w:t xml:space="preserve">Assignment of Renewal  </w:t>
      </w:r>
    </w:p>
    <w:p>
      <w:pPr>
        <w:pStyle w:val="Normal"/>
        <w:tabs>
          <w:tab w:val="clear" w:pos="720"/>
          <w:tab w:val="left" w:pos="2880" w:leader="none"/>
        </w:tabs>
        <w:ind w:hanging="2880" w:start="2880" w:end="0"/>
        <w:rPr/>
      </w:pPr>
      <w:r>
        <w:rPr>
          <w:b/>
          <w:u w:val="single"/>
        </w:rPr>
        <w:t xml:space="preserve">  </w:t>
      </w:r>
      <w:r>
        <w:rPr>
          <w:b/>
          <w:u w:val="single"/>
        </w:rPr>
        <w:t>Rights</w:t>
      </w:r>
      <w:r>
        <w:rPr>
          <w:b/>
        </w:rPr>
        <w:tab/>
      </w:r>
      <w:r>
        <w:rPr/>
        <w:t>ENA would provide to Calpine all renewal rights as applicable, on Nova and ANG systems. Service to expire Oct/31/2008.  Calpine shall hold all renewal rights to expiration and may exercise these rights as per the capacity release schedule directed by Nova and ANG prior to the expiration date. (need to verify process)</w:t>
      </w:r>
    </w:p>
    <w:p>
      <w:pPr>
        <w:pStyle w:val="Normal"/>
        <w:tabs>
          <w:tab w:val="clear" w:pos="720"/>
          <w:tab w:val="left" w:pos="2880" w:leader="none"/>
        </w:tabs>
        <w:ind w:hanging="2880" w:start="2880" w:end="0"/>
        <w:rPr>
          <w:b/>
        </w:rPr>
      </w:pPr>
      <w:r>
        <w:rPr>
          <w:b/>
        </w:rPr>
      </w:r>
    </w:p>
    <w:p>
      <w:pPr>
        <w:pStyle w:val="Normal"/>
        <w:tabs>
          <w:tab w:val="clear" w:pos="720"/>
          <w:tab w:val="left" w:pos="2880" w:leader="none"/>
        </w:tabs>
        <w:ind w:hanging="2880" w:start="2880" w:end="0"/>
        <w:rPr>
          <w:b/>
          <w:u w:val="single"/>
        </w:rPr>
      </w:pPr>
      <w:r>
        <w:rPr>
          <w:b/>
          <w:u w:val="single"/>
        </w:rPr>
        <w:t xml:space="preserve">Early Assignment of </w:t>
      </w:r>
    </w:p>
    <w:p>
      <w:pPr>
        <w:pStyle w:val="Normal"/>
        <w:tabs>
          <w:tab w:val="clear" w:pos="720"/>
          <w:tab w:val="left" w:pos="2880" w:leader="none"/>
        </w:tabs>
        <w:ind w:hanging="2880" w:start="2880" w:end="0"/>
        <w:rPr/>
      </w:pPr>
      <w:r>
        <w:rPr>
          <w:b/>
          <w:u w:val="single"/>
        </w:rPr>
        <w:t xml:space="preserve">  </w:t>
      </w:r>
      <w:r>
        <w:rPr>
          <w:b/>
          <w:u w:val="single"/>
        </w:rPr>
        <w:t>Capacity</w:t>
      </w:r>
      <w:r>
        <w:rPr>
          <w:b/>
        </w:rPr>
        <w:tab/>
      </w:r>
      <w:r>
        <w:rPr/>
        <w:t>Should the entire path of NOVA, ANG and PGT capacity utilized to effectuate the index sale hereunder become available for assignment prior to November 1, 2008, then ENA would deliver Calpine an offer letter stating the applicable Terms and Conditions upon which Calpine may acquire such capacity.  Calpine would then be afforded an exclusive right to acquire such capacity so long as it accepts all the offered capacity pursuant to the Terms and Conditions contained in the offer letter no later than 24 hours following Calpine’s receipt of such offer letter.</w:t>
      </w:r>
    </w:p>
    <w:p>
      <w:pPr>
        <w:pStyle w:val="Normal"/>
        <w:tabs>
          <w:tab w:val="clear" w:pos="720"/>
          <w:tab w:val="left" w:pos="2880" w:leader="none"/>
        </w:tabs>
        <w:ind w:hanging="2880" w:start="2880" w:end="0"/>
        <w:rPr/>
      </w:pPr>
      <w:r>
        <w:rPr/>
      </w:r>
    </w:p>
    <w:p>
      <w:pPr>
        <w:pStyle w:val="BodyTextIndent"/>
        <w:rPr/>
      </w:pPr>
      <w:r>
        <w:rPr/>
        <w:tab/>
        <w:t xml:space="preserve">In the event that Calpine does not accept this capacity as stated and or no other commercial terms can be arranged with this time period, then ENA shall have no further obligations to Calpine on the service offered. </w:t>
      </w:r>
    </w:p>
    <w:p>
      <w:pPr>
        <w:pStyle w:val="Normal"/>
        <w:tabs>
          <w:tab w:val="clear" w:pos="720"/>
          <w:tab w:val="left" w:pos="2880" w:leader="none"/>
        </w:tabs>
        <w:ind w:hanging="2880" w:start="2880" w:end="0"/>
        <w:rPr/>
      </w:pPr>
      <w:r>
        <w:rPr/>
      </w:r>
    </w:p>
    <w:p>
      <w:pPr>
        <w:pStyle w:val="BodyTextIndent"/>
        <w:rPr/>
      </w:pPr>
      <w:r>
        <w:rPr/>
        <w:tab/>
        <w:t>ENA would only be obligated to provide an offer letter to Calpine for a period of 1 year from the effective date of the Definitive Agreements.</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b/>
          <w:u w:val="single"/>
        </w:rPr>
      </w:pPr>
      <w:r>
        <w:rPr>
          <w:b/>
          <w:u w:val="single"/>
        </w:rPr>
        <w:t>Conditions Precedent</w:t>
      </w:r>
    </w:p>
    <w:p>
      <w:pPr>
        <w:pStyle w:val="Normal"/>
        <w:tabs>
          <w:tab w:val="clear" w:pos="720"/>
          <w:tab w:val="left" w:pos="2880" w:leader="none"/>
        </w:tabs>
        <w:ind w:hanging="2880" w:start="2880" w:end="0"/>
        <w:rPr>
          <w:b/>
          <w:u w:val="single"/>
        </w:rPr>
      </w:pPr>
      <w:r>
        <w:rPr>
          <w:b/>
          <w:u w:val="single"/>
        </w:rPr>
        <w:t>Closing Index Sale and</w:t>
      </w:r>
    </w:p>
    <w:p>
      <w:pPr>
        <w:pStyle w:val="Normal"/>
        <w:tabs>
          <w:tab w:val="clear" w:pos="720"/>
          <w:tab w:val="left" w:pos="2880" w:leader="none"/>
        </w:tabs>
        <w:ind w:hanging="2880" w:start="2880" w:end="0"/>
        <w:rPr/>
      </w:pPr>
      <w:r>
        <w:rPr>
          <w:b/>
          <w:u w:val="single"/>
        </w:rPr>
        <w:t>Capacity Assignments</w:t>
      </w:r>
      <w:r>
        <w:rPr/>
        <w:tab/>
        <w:t>PGT shall confirm that Calpine satisfies the necessary creditworthiness requirements for the purposes of permitting the transfer of the Assigned Capacity to Calpine.</w:t>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tab/>
        <w:t>Calpine shall provide all necessary documentation and credit covenants as required by PGT to facilitate the assignment.</w:t>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tab/>
        <w:t xml:space="preserve"> ENA shall be released unconditionally by PGT from any obligations effective the “Assignment Date”.</w:t>
      </w:r>
    </w:p>
    <w:p>
      <w:pPr>
        <w:pStyle w:val="Normal"/>
        <w:tabs>
          <w:tab w:val="clear" w:pos="720"/>
          <w:tab w:val="left" w:pos="2880" w:leader="none"/>
        </w:tabs>
        <w:ind w:hanging="2880" w:start="2880" w:end="0"/>
        <w:rPr/>
      </w:pPr>
      <w:r>
        <w:rPr/>
      </w:r>
    </w:p>
    <w:p>
      <w:pPr>
        <w:pStyle w:val="BodyTextIndent2"/>
        <w:rPr/>
      </w:pPr>
      <w:r>
        <w:rPr/>
      </w:r>
    </w:p>
    <w:p>
      <w:pPr>
        <w:pStyle w:val="Normal"/>
        <w:jc w:val="both"/>
        <w:rPr>
          <w:sz w:val="22"/>
        </w:rPr>
      </w:pPr>
      <w:r>
        <w:rPr>
          <w:sz w:val="22"/>
        </w:rPr>
        <w:t xml:space="preserve">I trust that the commercial terms as outlined above are consistent with our previous conversations and we would ask that you review this term sheet and contact me to discuss the details as required. </w:t>
      </w:r>
    </w:p>
    <w:p>
      <w:pPr>
        <w:pStyle w:val="Normal"/>
        <w:jc w:val="both"/>
        <w:rPr>
          <w:sz w:val="22"/>
        </w:rPr>
      </w:pPr>
      <w:r>
        <w:rPr>
          <w:sz w:val="22"/>
        </w:rPr>
      </w:r>
    </w:p>
    <w:p>
      <w:pPr>
        <w:pStyle w:val="Normal"/>
        <w:tabs>
          <w:tab w:val="clear" w:pos="720"/>
          <w:tab w:val="left" w:pos="2880" w:leader="none"/>
        </w:tabs>
        <w:ind w:hanging="2880" w:start="2880" w:end="0"/>
        <w:jc w:val="both"/>
        <w:rPr/>
      </w:pPr>
      <w:r>
        <w:rPr/>
        <w:t>Thanks in advance.</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r>
    </w:p>
    <w:p>
      <w:pPr>
        <w:pStyle w:val="Heading3"/>
        <w:rPr/>
      </w:pPr>
      <w:r>
        <w:rPr/>
        <w:t xml:space="preserve">Enron North America </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t>________________________</w:t>
      </w:r>
    </w:p>
    <w:p>
      <w:pPr>
        <w:pStyle w:val="Normal"/>
        <w:tabs>
          <w:tab w:val="clear" w:pos="720"/>
          <w:tab w:val="left" w:pos="2880" w:leader="none"/>
        </w:tabs>
        <w:ind w:hanging="2880" w:start="2880" w:end="0"/>
        <w:jc w:val="both"/>
        <w:rPr/>
      </w:pPr>
      <w:r>
        <w:rPr/>
        <w:t>Stephanie Miller</w:t>
      </w:r>
    </w:p>
    <w:p>
      <w:pPr>
        <w:pStyle w:val="Normal"/>
        <w:tabs>
          <w:tab w:val="clear" w:pos="720"/>
          <w:tab w:val="left" w:pos="2880" w:leader="none"/>
        </w:tabs>
        <w:ind w:hanging="2880" w:start="2880" w:end="0"/>
        <w:jc w:val="both"/>
        <w:rPr/>
      </w:pPr>
      <w:r>
        <w:rPr/>
        <w:t>Director</w:t>
      </w:r>
    </w:p>
    <w:p>
      <w:pPr>
        <w:pStyle w:val="Normal"/>
        <w:tabs>
          <w:tab w:val="clear" w:pos="720"/>
          <w:tab w:val="left" w:pos="2880" w:leader="none"/>
        </w:tabs>
        <w:ind w:hanging="2880" w:start="2880" w:end="0"/>
        <w:jc w:val="both"/>
        <w:rPr/>
      </w:pPr>
      <w:r>
        <w:rPr/>
        <w:t xml:space="preserve"> </w:t>
      </w:r>
    </w:p>
    <w:p>
      <w:pPr>
        <w:pStyle w:val="Normal"/>
        <w:ind w:end="720"/>
        <w:rPr>
          <w:rFonts w:ascii="Arial" w:hAnsi="Arial" w:cs="Arial"/>
          <w:sz w:val="22"/>
        </w:rPr>
      </w:pPr>
      <w:r>
        <w:rPr>
          <w:rFonts w:cs="Arial" w:ascii="Arial" w:hAnsi="Arial"/>
          <w:sz w:val="22"/>
        </w:rPr>
      </w:r>
    </w:p>
    <w:p>
      <w:pPr>
        <w:pStyle w:val="Normal"/>
        <w:ind w:end="720"/>
        <w:rPr>
          <w:rFonts w:ascii="Arial" w:hAnsi="Arial" w:eastAsia="Arial" w:cs="Arial"/>
          <w:sz w:val="22"/>
        </w:rPr>
      </w:pPr>
      <w:r>
        <w:rPr>
          <w:rFonts w:eastAsia="Arial" w:cs="Arial" w:ascii="Arial" w:hAnsi="Arial"/>
          <w:sz w:val="22"/>
        </w:rPr>
        <w:t xml:space="preserve">  </w:t>
      </w:r>
    </w:p>
    <w:p>
      <w:pPr>
        <w:pStyle w:val="Normal"/>
        <w:tabs>
          <w:tab w:val="clear" w:pos="720"/>
          <w:tab w:val="left" w:pos="2880" w:leader="none"/>
        </w:tabs>
        <w:ind w:hanging="2880" w:start="2880" w:end="0"/>
        <w:rPr>
          <w:rFonts w:ascii="Arial" w:hAnsi="Arial" w:cs="Arial"/>
          <w:b/>
          <w:sz w:val="22"/>
          <w:u w:val="single"/>
        </w:rPr>
      </w:pPr>
      <w:r>
        <w:rPr>
          <w:rFonts w:cs="Arial" w:ascii="Arial" w:hAnsi="Arial"/>
          <w:b/>
          <w:sz w:val="22"/>
          <w:u w:val="single"/>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Stephanie__Miller_termsheet_12_15_00_redline.doc</w:t>
    </w:r>
    <w:r>
      <w:rPr>
        <w:sz w:val="16"/>
      </w:rPr>
      <w:fldChar w:fldCharType="end"/>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outlineLvl w:val="1"/>
    </w:pPr>
    <w:rPr>
      <w:b/>
      <w:bCs/>
      <w:sz w:val="22"/>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jc w:val="both"/>
      <w:outlineLvl w:val="2"/>
    </w:pPr>
    <w:rPr>
      <w:b/>
    </w:rPr>
  </w:style>
  <w:style w:type="paragraph" w:styleId="Heading4">
    <w:name w:val="heading 4"/>
    <w:basedOn w:val="Normal"/>
    <w:next w:val="Normal"/>
    <w:qFormat/>
    <w:pPr>
      <w:keepNext w:val="true"/>
      <w:numPr>
        <w:ilvl w:val="3"/>
        <w:numId w:val="1"/>
      </w:numPr>
      <w:tabs>
        <w:tab w:val="clear" w:pos="720"/>
        <w:tab w:val="left" w:pos="2880" w:leader="none"/>
      </w:tabs>
      <w:ind w:hanging="2880" w:start="2880" w:end="0"/>
      <w:outlineLvl w:val="3"/>
    </w:pPr>
    <w:rPr>
      <w:b/>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2">
    <w:name w:val="Body Text 2"/>
    <w:basedOn w:val="Normal"/>
    <w:qFormat/>
    <w:pPr/>
    <w:rPr/>
  </w:style>
  <w:style w:type="paragraph" w:styleId="BodyTextIndent">
    <w:name w:val="Body Text Indent"/>
    <w:basedOn w:val="Normal"/>
    <w:pPr>
      <w:tabs>
        <w:tab w:val="clear" w:pos="720"/>
        <w:tab w:val="left" w:pos="2880" w:leader="none"/>
      </w:tabs>
      <w:ind w:hanging="2880" w:start="2880" w:end="0"/>
    </w:pPr>
    <w:rPr/>
  </w:style>
  <w:style w:type="paragraph" w:styleId="BodyTextIndent2">
    <w:name w:val="Body Text Indent 2"/>
    <w:basedOn w:val="Normal"/>
    <w:qFormat/>
    <w:pPr>
      <w:tabs>
        <w:tab w:val="clear" w:pos="720"/>
        <w:tab w:val="left" w:pos="2880" w:leader="none"/>
      </w:tabs>
      <w:ind w:hanging="2880" w:start="288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2000-12-15T19:14:00Z</dcterms:created>
  <dc:creator>David R. Keyes</dc:creator>
  <dc:description/>
  <dc:language>en-CA</dc:language>
  <cp:lastModifiedBy>svanhoo</cp:lastModifiedBy>
  <cp:lastPrinted>2000-12-15T15:43:00Z</cp:lastPrinted>
  <dcterms:modified xsi:type="dcterms:W3CDTF">2000-12-15T19:14:00Z</dcterms:modified>
  <cp:revision>2</cp:revision>
  <dc:subject/>
  <dc:title>SUMMARY OF TERMS AND CONDITIONS</dc:title>
</cp:coreProperties>
</file>