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1771"/>
        <w:gridCol w:w="1771"/>
        <w:gridCol w:w="1771"/>
        <w:gridCol w:w="1772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Counterparty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Missing Confrims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Infinity Valuation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Counterparty Valuation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Royal Bank of Canada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M184953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14,232,567.87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31,464,480.00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Canadian Imperial Bank of Commerce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964,937.08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SEB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M386047, M259149 M386047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5,099,199.32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LB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M180435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2,651,545.24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968,451.58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Aron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M310663</w:t>
            </w:r>
          </w:p>
          <w:p>
            <w:pPr>
              <w:pStyle w:val="Normal"/>
              <w:rPr/>
            </w:pPr>
            <w:r>
              <w:rPr/>
              <w:t>M528393 M589128 m589129 M612400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4,893,099.24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Goldman Sachs Capital Markets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None—2 in archives, to be retrieved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39,427,089.14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2002-02-01T17:52:00Z</dcterms:created>
  <dc:creator>Laurel Adams</dc:creator>
  <dc:description/>
  <dc:language>en-CA</dc:language>
  <cp:lastModifiedBy>Laurel Adams</cp:lastModifiedBy>
  <dcterms:modified xsi:type="dcterms:W3CDTF">2002-02-01T18:50:00Z</dcterms:modified>
  <cp:revision>1</cp:revision>
  <dc:subject/>
  <dc:title>Counterparty</dc:title>
</cp:coreProperties>
</file>