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keepNext w:val="true"/>
        <w:keepLines/>
        <w:spacing w:lineRule="atLeast" w:line="240" w:before="400" w:after="120"/>
        <w:ind w:hanging="0" w:start="-840" w:end="0"/>
        <w:rPr/>
      </w:pPr>
      <w:r>
        <w:rPr/>
        <w:t>Memo</w:t>
      </w:r>
    </w:p>
    <w:p>
      <w:pPr>
        <w:pStyle w:val="MessageHeaderFirst"/>
        <w:rPr/>
      </w:pPr>
      <w:r>
        <w:rPr>
          <w:rStyle w:val="MessageHeaderLabel"/>
          <w:spacing w:val="-25"/>
        </w:rPr>
        <w:t>T</w:t>
      </w:r>
      <w:r>
        <w:rPr>
          <w:rStyle w:val="MessageHeaderLabel"/>
        </w:rPr>
        <w:t>o:</w:t>
      </w:r>
      <w:r>
        <w:rPr/>
        <w:tab/>
        <w:t>IEP Membership</w:t>
      </w:r>
    </w:p>
    <w:p>
      <w:pPr>
        <w:pStyle w:val="MessageHeader"/>
        <w:rPr/>
      </w:pPr>
      <w:r>
        <w:rPr>
          <w:rStyle w:val="MessageHeaderLabel"/>
        </w:rPr>
        <w:t>From:</w:t>
      </w:r>
      <w:r>
        <w:rPr/>
        <w:tab/>
        <w:t>Steven Kelly, Policy Director</w:t>
      </w:r>
    </w:p>
    <w:p>
      <w:pPr>
        <w:pStyle w:val="MessageHeader"/>
        <w:rPr/>
      </w:pPr>
      <w:r>
        <w:rPr>
          <w:rStyle w:val="MessageHeaderLabel"/>
        </w:rPr>
        <w:t>CC:</w:t>
      </w:r>
      <w:r>
        <w:rPr/>
        <w:tab/>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Board of Equalization Adopts IEP Position on Local vs. States Jurisdiction/Assessment Issue</w:t>
      </w:r>
    </w:p>
    <w:p>
      <w:pPr>
        <w:pStyle w:val="BodyText"/>
        <w:rPr>
          <w:b/>
        </w:rPr>
      </w:pPr>
      <w:r>
        <w:rPr>
          <w:b/>
        </w:rPr>
        <w:t>Background</w:t>
      </w:r>
    </w:p>
    <w:p>
      <w:pPr>
        <w:pStyle w:val="BodyText"/>
        <w:rPr/>
      </w:pPr>
      <w:r>
        <w:rPr/>
        <w:t>In December 1998, the California Board of Equalization (BOE) staff proposed, and the Board members pursued, a proposal that asserted state jurisdiction (versus local jurisdiction) over all electric generating units.  At that time, the staff recommended excepting some types of generation based on use (e.g. cogenerators) and size (e.g. less than 50 MWs). Under this approach,  divested generators (i.e. units formerly owned by the utilities and, thus, formerly assessed at the state level) and new merchant plants would be subject to state assessment through the BOE.  Recently, the staff modified their own recommendation and asserted jurisdiction over all generating facilities, while raising the possibility of creating certain exemptions depending on use and size.</w:t>
      </w:r>
    </w:p>
    <w:p>
      <w:pPr>
        <w:pStyle w:val="BodyText"/>
        <w:rPr/>
      </w:pPr>
      <w:r>
        <w:rPr/>
        <w:t>While many parties, including local assessors, opposed the BOE staff position, IEP look the lead in developing the legal/constitutional arguments against the staff proposal, and played a significant role in leading the lobbying effort.  IEP argued that the BOE’s assessment jurisdiction under the constitution and law extends to entities that, as public utilities, receive Certificates of Public Convenience and Necessity (CPCN) as a prerequisite for operation.  Divested facilities, new merchant plants, QFs, cogenerators, etc., do not require CPCNs and thus, under this perspective, would not be subject to the BOE’s assessment jurisdiction.</w:t>
      </w:r>
    </w:p>
    <w:p>
      <w:pPr>
        <w:pStyle w:val="BodyText"/>
        <w:rPr/>
      </w:pPr>
      <w:r>
        <w:rPr/>
      </w:r>
    </w:p>
    <w:p>
      <w:pPr>
        <w:pStyle w:val="BodyText"/>
        <w:rPr>
          <w:b/>
        </w:rPr>
      </w:pPr>
      <w:r>
        <w:rPr>
          <w:b/>
        </w:rPr>
        <w:t>Status of Proceeding/IEP Position Adopted!</w:t>
      </w:r>
    </w:p>
    <w:p>
      <w:pPr>
        <w:pStyle w:val="BodyText"/>
        <w:spacing w:lineRule="atLeast" w:line="180" w:before="0" w:after="220"/>
        <w:jc w:val="both"/>
        <w:rPr/>
      </w:pPr>
      <w:r>
        <w:rPr/>
        <w:t xml:space="preserve">Yesterday, April 22, 1999, the BOE met and adopted on a 4-0 vote (one abstention) to accept the IEP position.  This is very good news.  This means that generators not requiring CPCNs will receive Prop 13 protections.  It also means that local generating companies can more effectively show local governments/authorities the direct tax benefits that accrue from their local operations.  </w:t>
      </w:r>
    </w:p>
    <w:sectPr>
      <w:footerReference w:type="default" r:id="rId2"/>
      <w:footerReference w:type="first" r:id="rId3"/>
      <w:type w:val="nextPage"/>
      <w:pgSz w:w="12240" w:h="15840"/>
      <w:pgMar w:left="1800" w:right="1800" w:gutter="0" w:header="0" w:top="297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end"/>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end"/>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IEP Memo for Letterhead</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1999-04-23T12:23:00Z</dcterms:created>
  <dc:creator>Steven Kelly</dc:creator>
  <dc:description/>
  <dc:language>en-CA</dc:language>
  <cp:lastModifiedBy>Steven Kelly</cp:lastModifiedBy>
  <cp:lastPrinted>1999-04-23T15:14:00Z</cp:lastPrinted>
  <dcterms:modified xsi:type="dcterms:W3CDTF">1999-04-23T12:51:00Z</dcterms:modified>
  <cp:revision>5</cp:revision>
  <dc:subject/>
  <dc:title>Memo</dc:title>
</cp:coreProperties>
</file>