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Brian Redmond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HPL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Transition Items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25, 2001</w:t>
            </w:r>
          </w:p>
        </w:tc>
      </w:tr>
    </w:tbl>
    <w:p>
      <w:pPr>
        <w:pStyle w:val="Body"/>
        <w:rPr/>
      </w:pPr>
      <w:r>
        <w:rPr/>
      </w:r>
      <w:bookmarkStart w:id="1" w:name="StartOfMemo"/>
      <w:bookmarkStart w:id="2" w:name="StartOfMemo"/>
      <w:bookmarkEnd w:id="2"/>
    </w:p>
    <w:p>
      <w:pPr>
        <w:pStyle w:val="Body"/>
        <w:rPr/>
      </w:pPr>
      <w:r>
        <w:rPr>
          <w:b/>
          <w:u w:val="single"/>
        </w:rPr>
        <w:t>We are currently on track for a 1 June Close .</w:t>
      </w:r>
      <w:r>
        <w:rPr>
          <w:b/>
        </w:rPr>
        <w:t xml:space="preserve">  The following critical path items are required to achieve this date. </w:t>
      </w:r>
    </w:p>
    <w:p>
      <w:pPr>
        <w:pStyle w:val="Body"/>
        <w:rPr>
          <w:b/>
        </w:rPr>
      </w:pPr>
      <w:r>
        <w:rPr>
          <w:b/>
        </w:rPr>
      </w:r>
    </w:p>
    <w:p>
      <w:pPr>
        <w:pStyle w:val="Body"/>
        <w:rPr>
          <w:b/>
        </w:rPr>
      </w:pPr>
      <w:r>
        <w:rPr>
          <w:b/>
        </w:rPr>
      </w:r>
    </w:p>
    <w:p>
      <w:pPr>
        <w:pStyle w:val="Body"/>
        <w:numPr>
          <w:ilvl w:val="0"/>
          <w:numId w:val="2"/>
        </w:numPr>
        <w:rPr>
          <w:b/>
        </w:rPr>
      </w:pPr>
      <w:r>
        <w:rPr>
          <w:b/>
        </w:rPr>
        <w:t>Hart Scott Rodino:  (R. Shapiro, M. Haedicke, B. Gray, A. Ballard):  DoJ has notified us that they will not interfere in the sale.</w:t>
      </w:r>
    </w:p>
    <w:p>
      <w:pPr>
        <w:pStyle w:val="Body"/>
        <w:rPr>
          <w:b/>
        </w:rPr>
      </w:pPr>
      <w:r>
        <w:rPr>
          <w:b/>
        </w:rPr>
      </w:r>
    </w:p>
    <w:p>
      <w:pPr>
        <w:pStyle w:val="Body"/>
        <w:ind w:hanging="1443" w:start="2160" w:end="0"/>
        <w:jc w:val="both"/>
        <w:rPr/>
      </w:pPr>
      <w:r>
        <w:rPr/>
        <w:t>Status:</w:t>
        <w:tab/>
        <w:t xml:space="preserve">Formal working level recommendation set to DoJ senior staff.  Verbal confirmation given by DoJ senior staff that they have no objections.   </w:t>
      </w:r>
    </w:p>
    <w:p>
      <w:pPr>
        <w:pStyle w:val="Body"/>
        <w:ind w:hanging="1443" w:start="2160" w:end="0"/>
        <w:jc w:val="both"/>
        <w:rPr/>
      </w:pPr>
      <w:r>
        <w:rPr/>
      </w:r>
    </w:p>
    <w:p>
      <w:pPr>
        <w:pStyle w:val="Body"/>
        <w:ind w:hanging="1443" w:start="2160" w:end="0"/>
        <w:jc w:val="both"/>
        <w:rPr/>
      </w:pPr>
      <w:r>
        <w:rPr/>
        <w:t>Enron Actions:</w:t>
        <w:tab/>
        <w:t xml:space="preserve">None.    </w:t>
      </w:r>
    </w:p>
    <w:p>
      <w:pPr>
        <w:pStyle w:val="Body"/>
        <w:rPr>
          <w:b/>
        </w:rPr>
      </w:pPr>
      <w:r>
        <w:rPr>
          <w:b/>
        </w:rPr>
      </w:r>
    </w:p>
    <w:p>
      <w:pPr>
        <w:pStyle w:val="Body"/>
        <w:rPr>
          <w:b/>
        </w:rPr>
      </w:pPr>
      <w:r>
        <w:rPr>
          <w:b/>
        </w:rPr>
      </w:r>
    </w:p>
    <w:p>
      <w:pPr>
        <w:pStyle w:val="Body"/>
        <w:numPr>
          <w:ilvl w:val="0"/>
          <w:numId w:val="2"/>
        </w:numPr>
        <w:rPr>
          <w:b/>
        </w:rPr>
      </w:pPr>
      <w:r>
        <w:rPr>
          <w:b/>
        </w:rPr>
        <w:t xml:space="preserve">Texas AG Office:  (R. Shapiro, M. Haedicke, B. Gray, A. Ballard):  </w:t>
      </w:r>
      <w:r>
        <w:rPr>
          <w:b/>
          <w:bCs/>
        </w:rPr>
        <w:t>Texas AG’s office and AEP have reached agreement in respect of AEP providing information on HPL activities post-Close</w:t>
      </w:r>
    </w:p>
    <w:p>
      <w:pPr>
        <w:pStyle w:val="Body"/>
        <w:rPr>
          <w:b/>
        </w:rPr>
      </w:pPr>
      <w:r>
        <w:rPr>
          <w:b/>
        </w:rPr>
      </w:r>
    </w:p>
    <w:p>
      <w:pPr>
        <w:pStyle w:val="Body"/>
        <w:ind w:hanging="1443" w:start="2160" w:end="0"/>
        <w:jc w:val="both"/>
        <w:rPr/>
      </w:pPr>
      <w:r>
        <w:rPr/>
        <w:t>Status:</w:t>
        <w:tab/>
        <w:t>Written agreement between AEP/Texas AG expected on Tuesday.  AEP is prepared to Close without a formal written agreement with the Texas AG office.</w:t>
      </w:r>
    </w:p>
    <w:p>
      <w:pPr>
        <w:pStyle w:val="Body"/>
        <w:ind w:hanging="1443" w:start="2160" w:end="0"/>
        <w:jc w:val="both"/>
        <w:rPr/>
      </w:pPr>
      <w:r>
        <w:rPr/>
      </w:r>
    </w:p>
    <w:p>
      <w:pPr>
        <w:pStyle w:val="Body"/>
        <w:ind w:hanging="1443" w:start="2160" w:end="0"/>
        <w:jc w:val="both"/>
        <w:rPr/>
      </w:pPr>
      <w:r>
        <w:rPr/>
        <w:t>Enron Actions:</w:t>
        <w:tab/>
        <w:t>B. Gray to follow up with AEP on status.</w:t>
      </w:r>
    </w:p>
    <w:p>
      <w:pPr>
        <w:pStyle w:val="Body"/>
        <w:ind w:start="0" w:end="0"/>
        <w:rPr/>
      </w:pPr>
      <w:r>
        <w:rPr/>
      </w:r>
    </w:p>
    <w:p>
      <w:pPr>
        <w:pStyle w:val="Body"/>
        <w:ind w:hanging="723" w:start="1440" w:end="0"/>
        <w:rPr>
          <w:b/>
        </w:rPr>
      </w:pPr>
      <w:r>
        <w:rPr>
          <w:b/>
        </w:rPr>
      </w:r>
    </w:p>
    <w:p>
      <w:pPr>
        <w:pStyle w:val="Body"/>
        <w:ind w:hanging="648" w:start="720" w:end="0"/>
        <w:rPr>
          <w:b/>
        </w:rPr>
      </w:pPr>
      <w:r>
        <w:rPr>
          <w:b/>
        </w:rPr>
        <w:t>3.</w:t>
        <w:tab/>
        <w:t>A/S Line Repair:  (B. Redmond, A. Koehler):  Final pipeline analysis report to be delivered on 28 May.</w:t>
      </w:r>
    </w:p>
    <w:p>
      <w:pPr>
        <w:pStyle w:val="Body"/>
        <w:rPr>
          <w:b/>
        </w:rPr>
      </w:pPr>
      <w:r>
        <w:rPr>
          <w:b/>
        </w:rPr>
      </w:r>
    </w:p>
    <w:p>
      <w:pPr>
        <w:pStyle w:val="Body"/>
        <w:ind w:hanging="1443" w:start="2160" w:end="0"/>
        <w:jc w:val="both"/>
        <w:rPr/>
      </w:pPr>
      <w:r>
        <w:rPr/>
        <w:t>Status:</w:t>
        <w:tab/>
        <w:t xml:space="preserve">No further issues expected.  Enron has submitted indemnity language to AEP to cover additional repairs required by TNRCC post-Close. </w:t>
      </w:r>
    </w:p>
    <w:p>
      <w:pPr>
        <w:pStyle w:val="Body"/>
        <w:ind w:hanging="1443" w:start="2160" w:end="0"/>
        <w:jc w:val="both"/>
        <w:rPr/>
      </w:pPr>
      <w:r>
        <w:rPr/>
      </w:r>
    </w:p>
    <w:p>
      <w:pPr>
        <w:pStyle w:val="Body"/>
        <w:ind w:hanging="1443" w:start="2160" w:end="0"/>
        <w:jc w:val="both"/>
        <w:rPr>
          <w:b/>
        </w:rPr>
      </w:pPr>
      <w:r>
        <w:rPr/>
        <w:t>Enron Actions:</w:t>
        <w:tab/>
        <w:t>B. Redmond/A. Koehler resolve language w/ D. Hart.</w:t>
      </w:r>
    </w:p>
    <w:p>
      <w:pPr>
        <w:pStyle w:val="Body"/>
        <w:rPr>
          <w:b/>
        </w:rPr>
      </w:pPr>
      <w:r>
        <w:rPr>
          <w:b/>
        </w:rPr>
      </w:r>
    </w:p>
    <w:p>
      <w:pPr>
        <w:pStyle w:val="Body"/>
        <w:rPr>
          <w:b/>
        </w:rPr>
      </w:pPr>
      <w:r>
        <w:rPr>
          <w:b/>
        </w:rPr>
      </w:r>
    </w:p>
    <w:p>
      <w:pPr>
        <w:pStyle w:val="Body"/>
        <w:numPr>
          <w:ilvl w:val="0"/>
          <w:numId w:val="3"/>
        </w:numPr>
        <w:rPr>
          <w:b/>
        </w:rPr>
      </w:pPr>
      <w:r>
        <w:rPr>
          <w:b/>
        </w:rPr>
        <w:t>IT Systems (P. Bibi, T. Yanowski): IT condition precedent satisfied.  Still working to finalize temporary lease terms for 15</w:t>
      </w:r>
      <w:r>
        <w:rPr>
          <w:b/>
          <w:vertAlign w:val="superscript"/>
        </w:rPr>
        <w:t>th</w:t>
      </w:r>
      <w:r>
        <w:rPr>
          <w:b/>
        </w:rPr>
        <w:t xml:space="preserve"> floor of 1201 Louisiana.</w:t>
      </w:r>
    </w:p>
    <w:p>
      <w:pPr>
        <w:pStyle w:val="Body"/>
        <w:rPr>
          <w:b/>
        </w:rPr>
      </w:pPr>
      <w:r>
        <w:rPr>
          <w:b/>
        </w:rPr>
      </w:r>
    </w:p>
    <w:p>
      <w:pPr>
        <w:pStyle w:val="Body"/>
        <w:ind w:hanging="1443" w:start="2160" w:end="0"/>
        <w:jc w:val="both"/>
        <w:rPr/>
      </w:pPr>
      <w:r>
        <w:rPr/>
        <w:t>Status:</w:t>
        <w:tab/>
        <w:t>A letter has been issued to AEP to notify them that we have met our IT requirements to Close.  B. Gray has delivered an agreement for use of 15</w:t>
      </w:r>
      <w:r>
        <w:rPr>
          <w:vertAlign w:val="superscript"/>
        </w:rPr>
        <w:t>th</w:t>
      </w:r>
      <w:r>
        <w:rPr/>
        <w:t xml:space="preserve"> floor of 1201 Louisiana.  This agreement was revised per AEP’s comments.</w:t>
      </w:r>
    </w:p>
    <w:p>
      <w:pPr>
        <w:pStyle w:val="Body"/>
        <w:ind w:hanging="1443" w:start="2160" w:end="0"/>
        <w:jc w:val="both"/>
        <w:rPr>
          <w:rFonts w:eastAsia="Arial"/>
        </w:rPr>
      </w:pPr>
      <w:r>
        <w:rPr>
          <w:rFonts w:eastAsia="Arial"/>
        </w:rPr>
        <w:t xml:space="preserve"> </w:t>
      </w:r>
    </w:p>
    <w:p>
      <w:pPr>
        <w:pStyle w:val="Body"/>
        <w:ind w:hanging="1443" w:start="2160" w:end="0"/>
        <w:jc w:val="both"/>
        <w:rPr/>
      </w:pPr>
      <w:r>
        <w:rPr/>
        <w:t>Enron Actions:</w:t>
        <w:tab/>
        <w:t>B. Redmond/B. Gray to finalize 15</w:t>
      </w:r>
      <w:r>
        <w:rPr>
          <w:vertAlign w:val="superscript"/>
        </w:rPr>
        <w:t>th</w:t>
      </w:r>
      <w:r>
        <w:rPr/>
        <w:t xml:space="preserve"> floor lease arrangements w/ D. Hart.</w:t>
      </w:r>
    </w:p>
    <w:p>
      <w:pPr>
        <w:pStyle w:val="Body"/>
        <w:rPr>
          <w:b/>
        </w:rPr>
      </w:pPr>
      <w:r>
        <w:rPr>
          <w:b/>
        </w:rPr>
      </w:r>
    </w:p>
    <w:p>
      <w:pPr>
        <w:pStyle w:val="Body"/>
        <w:rPr>
          <w:b/>
        </w:rPr>
      </w:pPr>
      <w:r>
        <w:rPr>
          <w:b/>
        </w:rPr>
      </w:r>
    </w:p>
    <w:p>
      <w:pPr>
        <w:pStyle w:val="Body"/>
        <w:numPr>
          <w:ilvl w:val="0"/>
          <w:numId w:val="2"/>
        </w:numPr>
        <w:rPr>
          <w:b/>
        </w:rPr>
      </w:pPr>
      <w:r>
        <w:rPr>
          <w:b/>
        </w:rPr>
        <w:t>Treatment of HPL bank accounts after Closing (M. Perkins, A. Koehler):  Amendment signed.</w:t>
      </w:r>
    </w:p>
    <w:p>
      <w:pPr>
        <w:pStyle w:val="Body"/>
        <w:ind w:hanging="1443" w:start="2160" w:end="0"/>
        <w:jc w:val="both"/>
        <w:rPr>
          <w:b/>
        </w:rPr>
      </w:pPr>
      <w:r>
        <w:rPr>
          <w:b/>
        </w:rPr>
      </w:r>
    </w:p>
    <w:p>
      <w:pPr>
        <w:pStyle w:val="Body"/>
        <w:ind w:hanging="1443" w:start="2160" w:end="0"/>
        <w:jc w:val="both"/>
        <w:rPr/>
      </w:pPr>
      <w:r>
        <w:rPr/>
        <w:t>Status:</w:t>
        <w:tab/>
        <w:t>Final version of the agreement governing the HPL bank accounts executed between Enron and AEP.</w:t>
      </w:r>
    </w:p>
    <w:p>
      <w:pPr>
        <w:pStyle w:val="Body"/>
        <w:ind w:hanging="1443" w:start="2160" w:end="0"/>
        <w:jc w:val="both"/>
        <w:rPr/>
      </w:pPr>
      <w:r>
        <w:rPr/>
      </w:r>
    </w:p>
    <w:p>
      <w:pPr>
        <w:pStyle w:val="Body"/>
        <w:ind w:hanging="1443" w:start="2160" w:end="0"/>
        <w:jc w:val="both"/>
        <w:rPr/>
      </w:pPr>
      <w:r>
        <w:rPr/>
        <w:t>Enron Actions:</w:t>
        <w:tab/>
        <w:t>None.</w:t>
      </w:r>
    </w:p>
    <w:p>
      <w:pPr>
        <w:pStyle w:val="Body"/>
        <w:ind w:hanging="1443" w:start="2160" w:end="0"/>
        <w:jc w:val="both"/>
        <w:rPr>
          <w:b/>
        </w:rPr>
      </w:pPr>
      <w:r>
        <w:rPr>
          <w:rFonts w:eastAsia="Arial"/>
        </w:rPr>
        <w:t xml:space="preserve">  </w:t>
      </w:r>
    </w:p>
    <w:p>
      <w:pPr>
        <w:pStyle w:val="Body"/>
        <w:rPr>
          <w:b/>
        </w:rPr>
      </w:pPr>
      <w:r>
        <w:rPr>
          <w:b/>
        </w:rPr>
      </w:r>
    </w:p>
    <w:p>
      <w:pPr>
        <w:pStyle w:val="Body"/>
        <w:numPr>
          <w:ilvl w:val="0"/>
          <w:numId w:val="2"/>
        </w:numPr>
        <w:rPr/>
      </w:pPr>
      <w:r>
        <w:rPr>
          <w:b/>
        </w:rPr>
        <w:t>Treatment of Swaps for Fixed Price Deals (T. Rohauer/C. St. Claire):  Protocol agreed.</w:t>
      </w:r>
    </w:p>
    <w:p>
      <w:pPr>
        <w:pStyle w:val="Body"/>
        <w:ind w:hanging="1443" w:start="2160" w:end="0"/>
        <w:jc w:val="both"/>
        <w:rPr/>
      </w:pPr>
      <w:r>
        <w:rPr/>
      </w:r>
    </w:p>
    <w:p>
      <w:pPr>
        <w:pStyle w:val="Body"/>
        <w:ind w:hanging="1443" w:start="2160" w:end="0"/>
        <w:jc w:val="both"/>
        <w:rPr/>
      </w:pPr>
      <w:r>
        <w:rPr/>
        <w:t>Status:</w:t>
        <w:tab/>
        <w:t>“Form of Confirms” reviewed and approved – process agreed to transfer the positions to AEP.</w:t>
      </w:r>
    </w:p>
    <w:p>
      <w:pPr>
        <w:pStyle w:val="Body"/>
        <w:ind w:hanging="1443" w:start="2160" w:end="0"/>
        <w:jc w:val="both"/>
        <w:rPr/>
      </w:pPr>
      <w:r>
        <w:rPr/>
      </w:r>
    </w:p>
    <w:p>
      <w:pPr>
        <w:pStyle w:val="Body"/>
        <w:ind w:hanging="1443" w:start="2160" w:end="0"/>
        <w:jc w:val="both"/>
        <w:rPr/>
      </w:pPr>
      <w:r>
        <w:rPr/>
        <w:t>Actions:</w:t>
        <w:tab/>
        <w:t>Books to be unwound and swaps put in place on May 31.</w:t>
      </w:r>
    </w:p>
    <w:p>
      <w:pPr>
        <w:pStyle w:val="Body"/>
        <w:rPr>
          <w:b/>
        </w:rPr>
      </w:pPr>
      <w:r>
        <w:rPr>
          <w:b/>
        </w:rPr>
      </w:r>
    </w:p>
    <w:p>
      <w:pPr>
        <w:pStyle w:val="Body"/>
        <w:rPr>
          <w:b/>
        </w:rPr>
      </w:pPr>
      <w:r>
        <w:rPr>
          <w:b/>
        </w:rPr>
      </w:r>
    </w:p>
    <w:p>
      <w:pPr>
        <w:pStyle w:val="Body"/>
        <w:numPr>
          <w:ilvl w:val="0"/>
          <w:numId w:val="2"/>
        </w:numPr>
        <w:rPr/>
      </w:pPr>
      <w:r>
        <w:rPr>
          <w:b/>
        </w:rPr>
        <w:t>PP&amp;E, Material Management Protocol:  (W. Colwell, J. Coffey):  Protocol agreed.</w:t>
      </w:r>
    </w:p>
    <w:p>
      <w:pPr>
        <w:pStyle w:val="Body"/>
        <w:ind w:hanging="1443" w:start="2160" w:end="0"/>
        <w:jc w:val="both"/>
        <w:rPr/>
      </w:pPr>
      <w:r>
        <w:rPr/>
      </w:r>
    </w:p>
    <w:p>
      <w:pPr>
        <w:pStyle w:val="Body"/>
        <w:ind w:hanging="1443" w:start="2160" w:end="0"/>
        <w:jc w:val="both"/>
        <w:rPr/>
      </w:pPr>
      <w:r>
        <w:rPr/>
        <w:t>Status:</w:t>
        <w:tab/>
        <w:t>AEP/Enron agreed PP&amp;E/CWIP and Materials Management Protocols.</w:t>
      </w:r>
    </w:p>
    <w:p>
      <w:pPr>
        <w:pStyle w:val="Body"/>
        <w:ind w:hanging="1443" w:start="2160" w:end="0"/>
        <w:jc w:val="both"/>
        <w:rPr/>
      </w:pPr>
      <w:r>
        <w:rPr/>
      </w:r>
    </w:p>
    <w:p>
      <w:pPr>
        <w:pStyle w:val="Body"/>
        <w:ind w:hanging="1443" w:start="2160" w:end="0"/>
        <w:jc w:val="both"/>
        <w:rPr/>
      </w:pPr>
      <w:r>
        <w:rPr/>
        <w:t>Actions:</w:t>
        <w:tab/>
        <w:t>B. Redmond/J. Coffey to finalize list of reimbursable costs and A/Rs..</w:t>
      </w:r>
    </w:p>
    <w:p>
      <w:pPr>
        <w:pStyle w:val="Body"/>
        <w:ind w:start="0" w:end="0"/>
        <w:rPr>
          <w:b/>
        </w:rPr>
      </w:pPr>
      <w:r>
        <w:rPr>
          <w:b/>
        </w:rPr>
      </w:r>
    </w:p>
    <w:p>
      <w:pPr>
        <w:pStyle w:val="Body"/>
        <w:rPr>
          <w:b/>
        </w:rPr>
      </w:pPr>
      <w:r>
        <w:rPr>
          <w:b/>
        </w:rPr>
      </w:r>
    </w:p>
    <w:p>
      <w:pPr>
        <w:pStyle w:val="Body"/>
        <w:numPr>
          <w:ilvl w:val="0"/>
          <w:numId w:val="2"/>
        </w:numPr>
        <w:rPr/>
      </w:pPr>
      <w:r>
        <w:rPr>
          <w:b/>
        </w:rPr>
        <w:t>Proceeds vs. Book Value of Assets Sold (W. Colwell, J. Coffey):  Amendment signed.</w:t>
      </w:r>
    </w:p>
    <w:p>
      <w:pPr>
        <w:pStyle w:val="Body"/>
        <w:ind w:hanging="1443" w:start="2160" w:end="0"/>
        <w:jc w:val="both"/>
        <w:rPr/>
      </w:pPr>
      <w:r>
        <w:rPr/>
      </w:r>
    </w:p>
    <w:p>
      <w:pPr>
        <w:pStyle w:val="Body"/>
        <w:ind w:hanging="1443" w:start="2160" w:end="0"/>
        <w:jc w:val="both"/>
        <w:rPr/>
      </w:pPr>
      <w:r>
        <w:rPr/>
        <w:t>Status:</w:t>
        <w:tab/>
        <w:t>Enron/AEP executed and amendment to shift $20MM of value between P&amp;SA and Sublease.</w:t>
      </w:r>
    </w:p>
    <w:p>
      <w:pPr>
        <w:pStyle w:val="Body"/>
        <w:ind w:hanging="1443" w:start="2160" w:end="0"/>
        <w:jc w:val="both"/>
        <w:rPr/>
      </w:pPr>
      <w:r>
        <w:rPr/>
      </w:r>
    </w:p>
    <w:p>
      <w:pPr>
        <w:pStyle w:val="Body"/>
        <w:ind w:hanging="1443" w:start="2160" w:end="0"/>
        <w:jc w:val="both"/>
        <w:rPr/>
      </w:pPr>
      <w:r>
        <w:rPr/>
        <w:t>Actions:</w:t>
        <w:tab/>
        <w:t>None.</w:t>
      </w:r>
    </w:p>
    <w:p>
      <w:pPr>
        <w:pStyle w:val="Body"/>
        <w:ind w:start="0" w:end="0"/>
        <w:rPr>
          <w:b/>
        </w:rPr>
      </w:pPr>
      <w:r>
        <w:rPr>
          <w:b/>
        </w:rPr>
      </w:r>
    </w:p>
    <w:p>
      <w:pPr>
        <w:pStyle w:val="Body"/>
        <w:ind w:start="0" w:end="0"/>
        <w:rPr>
          <w:b/>
        </w:rPr>
      </w:pPr>
      <w:r>
        <w:rPr>
          <w:b/>
        </w:rPr>
      </w:r>
    </w:p>
    <w:p>
      <w:pPr>
        <w:pStyle w:val="Body"/>
        <w:numPr>
          <w:ilvl w:val="0"/>
          <w:numId w:val="2"/>
        </w:numPr>
        <w:rPr>
          <w:b/>
        </w:rPr>
      </w:pPr>
      <w:r>
        <w:rPr>
          <w:b/>
        </w:rPr>
        <w:t>HR Issues (D. Oxley, F. Mayes): Begin process of transferring payroll.</w:t>
      </w:r>
    </w:p>
    <w:p>
      <w:pPr>
        <w:pStyle w:val="Body"/>
        <w:ind w:start="0" w:end="0"/>
        <w:rPr>
          <w:b/>
        </w:rPr>
      </w:pPr>
      <w:r>
        <w:rPr>
          <w:b/>
        </w:rPr>
      </w:r>
    </w:p>
    <w:p>
      <w:pPr>
        <w:pStyle w:val="Body"/>
        <w:ind w:hanging="1443" w:start="2160" w:end="0"/>
        <w:jc w:val="both"/>
        <w:rPr/>
      </w:pPr>
      <w:r>
        <w:rPr/>
        <w:t>Status:</w:t>
        <w:tab/>
        <w:t>Final transfer packages to be sent to employees next week.</w:t>
      </w:r>
    </w:p>
    <w:p>
      <w:pPr>
        <w:pStyle w:val="Body"/>
        <w:ind w:hanging="1443" w:start="2160" w:end="0"/>
        <w:jc w:val="both"/>
        <w:rPr/>
      </w:pPr>
      <w:r>
        <w:rPr/>
      </w:r>
    </w:p>
    <w:p>
      <w:pPr>
        <w:pStyle w:val="Body"/>
        <w:ind w:hanging="1443" w:start="2160" w:end="0"/>
        <w:jc w:val="both"/>
        <w:rPr/>
      </w:pPr>
      <w:r>
        <w:rPr/>
        <w:t>Actions:</w:t>
        <w:tab/>
        <w:t>Deliver packages to employees, collect security badges, process employee records.</w:t>
      </w:r>
    </w:p>
    <w:p>
      <w:pPr>
        <w:pStyle w:val="Body"/>
        <w:ind w:start="0" w:end="0"/>
        <w:rPr/>
      </w:pPr>
      <w:r>
        <w:rPr/>
      </w:r>
    </w:p>
    <w:p>
      <w:pPr>
        <w:pStyle w:val="Body"/>
        <w:ind w:start="0" w:end="0"/>
        <w:rPr>
          <w:b/>
        </w:rPr>
      </w:pPr>
      <w:r>
        <w:rPr>
          <w:b/>
        </w:rPr>
      </w:r>
    </w:p>
    <w:p>
      <w:pPr>
        <w:pStyle w:val="Body"/>
        <w:numPr>
          <w:ilvl w:val="0"/>
          <w:numId w:val="2"/>
        </w:numPr>
        <w:rPr>
          <w:b/>
        </w:rPr>
      </w:pPr>
      <w:r>
        <w:rPr>
          <w:b/>
        </w:rPr>
        <w:t xml:space="preserve">Replacement of Enron Guarantees (M. Perkins, A. Koehler):  Send transfer letters to counter-parties. </w:t>
      </w:r>
    </w:p>
    <w:p>
      <w:pPr>
        <w:pStyle w:val="Body"/>
        <w:ind w:start="0" w:end="0"/>
        <w:rPr>
          <w:b/>
        </w:rPr>
      </w:pPr>
      <w:r>
        <w:rPr>
          <w:b/>
        </w:rPr>
      </w:r>
    </w:p>
    <w:p>
      <w:pPr>
        <w:pStyle w:val="Body"/>
        <w:ind w:hanging="1443" w:start="2160" w:end="0"/>
        <w:jc w:val="both"/>
        <w:rPr/>
      </w:pPr>
      <w:r>
        <w:rPr/>
        <w:t>Status:</w:t>
        <w:tab/>
        <w:t>Form of Guarantee Release agreed.  Counterparties identified.</w:t>
      </w:r>
    </w:p>
    <w:p>
      <w:pPr>
        <w:pStyle w:val="Body"/>
        <w:ind w:hanging="1443" w:start="2160" w:end="0"/>
        <w:jc w:val="both"/>
        <w:rPr/>
      </w:pPr>
      <w:r>
        <w:rPr/>
      </w:r>
    </w:p>
    <w:p>
      <w:pPr>
        <w:pStyle w:val="Body"/>
        <w:ind w:hanging="1443" w:start="2160" w:end="0"/>
        <w:jc w:val="both"/>
        <w:rPr/>
      </w:pPr>
      <w:r>
        <w:rPr/>
        <w:t>Actions:</w:t>
        <w:tab/>
        <w:t>Letter to be sent to counterparties after guarantee releases have been received by AEP.  Indemnification agreement drafted as standby and sent to AEP lawyers.</w:t>
      </w:r>
    </w:p>
    <w:p>
      <w:pPr>
        <w:pStyle w:val="Body"/>
        <w:ind w:hanging="1443" w:start="2160" w:end="0"/>
        <w:jc w:val="both"/>
        <w:rPr/>
      </w:pPr>
      <w:r>
        <w:rPr/>
      </w:r>
    </w:p>
    <w:p>
      <w:pPr>
        <w:pStyle w:val="Body"/>
        <w:ind w:hanging="1443" w:start="2160" w:end="0"/>
        <w:jc w:val="both"/>
        <w:rPr>
          <w:b/>
        </w:rPr>
      </w:pPr>
      <w:r>
        <w:rPr>
          <w:b/>
        </w:rPr>
      </w:r>
    </w:p>
    <w:p>
      <w:pPr>
        <w:pStyle w:val="Body"/>
        <w:numPr>
          <w:ilvl w:val="0"/>
          <w:numId w:val="2"/>
        </w:numPr>
        <w:rPr>
          <w:b/>
        </w:rPr>
      </w:pPr>
      <w:r>
        <w:rPr>
          <w:b/>
        </w:rPr>
        <w:t>Business Operations Processes (S. Beck, B. Hall): Need AEP response on protocol governing back-office functions before, during, and after the Closing Date.</w:t>
      </w:r>
    </w:p>
    <w:p>
      <w:pPr>
        <w:pStyle w:val="Body"/>
        <w:rPr>
          <w:b/>
        </w:rPr>
      </w:pPr>
      <w:r>
        <w:rPr>
          <w:b/>
        </w:rPr>
      </w:r>
    </w:p>
    <w:p>
      <w:pPr>
        <w:pStyle w:val="Body"/>
        <w:ind w:hanging="1443" w:start="2160" w:end="0"/>
        <w:jc w:val="both"/>
        <w:rPr/>
      </w:pPr>
      <w:r>
        <w:rPr/>
        <w:t>Status:</w:t>
        <w:tab/>
        <w:t>Waiting for AEP to send back comments on protocols.</w:t>
      </w:r>
    </w:p>
    <w:p>
      <w:pPr>
        <w:pStyle w:val="Body"/>
        <w:ind w:hanging="1443" w:start="2160" w:end="0"/>
        <w:jc w:val="both"/>
        <w:rPr/>
      </w:pPr>
      <w:r>
        <w:rPr/>
      </w:r>
    </w:p>
    <w:p>
      <w:pPr>
        <w:pStyle w:val="Body"/>
        <w:ind w:hanging="1443" w:start="2160" w:end="0"/>
        <w:jc w:val="both"/>
        <w:rPr>
          <w:b/>
        </w:rPr>
      </w:pPr>
      <w:r>
        <w:rPr/>
        <w:t>Actions:</w:t>
        <w:tab/>
        <w:t>B. Hall/J. Coffey to follow up with AEP on Tuesday to resolve.</w:t>
      </w:r>
    </w:p>
    <w:p>
      <w:pPr>
        <w:pStyle w:val="Body"/>
        <w:rPr>
          <w:b/>
        </w:rPr>
      </w:pPr>
      <w:r>
        <w:rPr>
          <w:b/>
        </w:rPr>
      </w:r>
    </w:p>
    <w:p>
      <w:pPr>
        <w:pStyle w:val="Body"/>
        <w:rPr>
          <w:b/>
        </w:rPr>
      </w:pPr>
      <w:r>
        <w:rPr>
          <w:b/>
        </w:rPr>
      </w:r>
    </w:p>
    <w:p>
      <w:pPr>
        <w:pStyle w:val="Body"/>
        <w:numPr>
          <w:ilvl w:val="0"/>
          <w:numId w:val="2"/>
        </w:numPr>
        <w:rPr>
          <w:b/>
        </w:rPr>
      </w:pPr>
      <w:r>
        <w:rPr>
          <w:b/>
        </w:rPr>
        <w:t>Imbalances, A/R (T. Martin, E. Gottlob, S. Beck, B. Hall):  Focused effort on resolving prior to Close.</w:t>
      </w:r>
    </w:p>
    <w:p>
      <w:pPr>
        <w:pStyle w:val="Body"/>
        <w:rPr>
          <w:b/>
        </w:rPr>
      </w:pPr>
      <w:r>
        <w:rPr>
          <w:b/>
        </w:rPr>
      </w:r>
    </w:p>
    <w:p>
      <w:pPr>
        <w:pStyle w:val="Body"/>
        <w:ind w:hanging="1443" w:start="2160" w:end="0"/>
        <w:jc w:val="both"/>
        <w:rPr/>
      </w:pPr>
      <w:r>
        <w:rPr/>
        <w:t>Status:</w:t>
        <w:tab/>
        <w:t>Sales A/R exposure has been reduced to $0.7 MM.  Discussions ongoing with AEP to get them to settle imbalances on behalf of ENA.</w:t>
      </w:r>
    </w:p>
    <w:p>
      <w:pPr>
        <w:pStyle w:val="Body"/>
        <w:ind w:hanging="1443" w:start="2160" w:end="0"/>
        <w:jc w:val="both"/>
        <w:rPr/>
      </w:pPr>
      <w:r>
        <w:rPr/>
      </w:r>
    </w:p>
    <w:p>
      <w:pPr>
        <w:pStyle w:val="Body"/>
        <w:ind w:hanging="1443" w:start="2160" w:end="0"/>
        <w:jc w:val="both"/>
        <w:rPr>
          <w:b/>
        </w:rPr>
      </w:pPr>
      <w:r>
        <w:rPr/>
        <w:t>Actions:</w:t>
        <w:tab/>
        <w:t>Meeting Thursday to address outstanding A/R balances.  Proposal sent to AEP on 25 May on imbalances</w:t>
      </w:r>
    </w:p>
    <w:p>
      <w:pPr>
        <w:pStyle w:val="Body"/>
        <w:ind w:start="0" w:end="0"/>
        <w:rPr>
          <w:b/>
        </w:rPr>
      </w:pPr>
      <w:r>
        <w:rPr>
          <w:b/>
        </w:rPr>
      </w:r>
    </w:p>
    <w:p>
      <w:pPr>
        <w:pStyle w:val="Body"/>
        <w:ind w:start="0" w:end="0"/>
        <w:rPr>
          <w:b/>
        </w:rPr>
      </w:pPr>
      <w:r>
        <w:rPr>
          <w:b/>
        </w:rPr>
      </w:r>
    </w:p>
    <w:p>
      <w:pPr>
        <w:pStyle w:val="Body"/>
        <w:numPr>
          <w:ilvl w:val="0"/>
          <w:numId w:val="2"/>
        </w:numPr>
        <w:rPr>
          <w:b/>
        </w:rPr>
      </w:pPr>
      <w:r>
        <w:rPr>
          <w:b/>
        </w:rPr>
        <w:t xml:space="preserve">Books &amp; Records (C. Gilley, A. Koehler): Establish procedures for handling post-closing information. </w:t>
      </w:r>
    </w:p>
    <w:p>
      <w:pPr>
        <w:pStyle w:val="Body"/>
        <w:ind w:start="0" w:end="0"/>
        <w:rPr>
          <w:b/>
        </w:rPr>
      </w:pPr>
      <w:r>
        <w:rPr>
          <w:b/>
        </w:rPr>
      </w:r>
    </w:p>
    <w:p>
      <w:pPr>
        <w:pStyle w:val="Body"/>
        <w:ind w:hanging="1443" w:start="2160" w:end="0"/>
        <w:jc w:val="both"/>
        <w:rPr/>
      </w:pPr>
      <w:r>
        <w:rPr/>
        <w:t>Status:</w:t>
        <w:tab/>
        <w:t>Enron has delivered to AEP the list of Books and Records to be delivered at Closing.  AEP must respond to protocol covering retention schedule (6yrs of historical records).</w:t>
      </w:r>
    </w:p>
    <w:p>
      <w:pPr>
        <w:pStyle w:val="Body"/>
        <w:ind w:hanging="1443" w:start="2160" w:end="0"/>
        <w:jc w:val="both"/>
        <w:rPr/>
      </w:pPr>
      <w:r>
        <w:rPr/>
      </w:r>
    </w:p>
    <w:p>
      <w:pPr>
        <w:pStyle w:val="Body"/>
        <w:ind w:hanging="1440" w:start="2160" w:end="0"/>
        <w:rPr/>
      </w:pPr>
      <w:r>
        <w:rPr/>
        <w:t>Actions:</w:t>
        <w:tab/>
        <w:t>A. Koehler to finalize retention protocol next week with AEP Gen Counsel.</w:t>
      </w:r>
    </w:p>
    <w:p>
      <w:pPr>
        <w:pStyle w:val="Body"/>
        <w:rPr>
          <w:b/>
        </w:rPr>
      </w:pPr>
      <w:r>
        <w:rPr>
          <w:b/>
        </w:rPr>
      </w:r>
    </w:p>
    <w:p>
      <w:pPr>
        <w:pStyle w:val="Body"/>
        <w:rPr>
          <w:b/>
        </w:rPr>
      </w:pPr>
      <w:r>
        <w:rPr>
          <w:b/>
        </w:rPr>
      </w:r>
    </w:p>
    <w:p>
      <w:pPr>
        <w:pStyle w:val="Body"/>
        <w:numPr>
          <w:ilvl w:val="0"/>
          <w:numId w:val="2"/>
        </w:numPr>
        <w:rPr>
          <w:b/>
        </w:rPr>
      </w:pPr>
      <w:r>
        <w:rPr>
          <w:b/>
        </w:rPr>
        <w:t xml:space="preserve">Coastline vs. Interest Payments vs. Residual Entex costs (B. Redmond, A. Koehler): </w:t>
      </w:r>
    </w:p>
    <w:p>
      <w:pPr>
        <w:pStyle w:val="Body"/>
        <w:ind w:start="0" w:end="0"/>
        <w:rPr>
          <w:b/>
        </w:rPr>
      </w:pPr>
      <w:r>
        <w:rPr>
          <w:b/>
        </w:rPr>
      </w:r>
    </w:p>
    <w:p>
      <w:pPr>
        <w:pStyle w:val="Body"/>
        <w:ind w:hanging="1443" w:start="2160" w:end="0"/>
        <w:jc w:val="both"/>
        <w:rPr/>
      </w:pPr>
      <w:r>
        <w:rPr/>
        <w:t>Status:</w:t>
        <w:tab/>
        <w:t>Proposal sent to AEP regarding AEP assuming Coastline lawsuit liabilities and certain residual Entex costs in exchange for Enron not pursuing AEP for interest payments due to AEP’s delay in getting HSR approval.</w:t>
      </w:r>
    </w:p>
    <w:p>
      <w:pPr>
        <w:pStyle w:val="Body"/>
        <w:ind w:hanging="1443" w:start="2160" w:end="0"/>
        <w:jc w:val="both"/>
        <w:rPr/>
      </w:pPr>
      <w:r>
        <w:rPr/>
      </w:r>
    </w:p>
    <w:p>
      <w:pPr>
        <w:pStyle w:val="Body"/>
        <w:ind w:hanging="1443" w:start="2160" w:end="0"/>
        <w:jc w:val="both"/>
        <w:rPr/>
      </w:pPr>
      <w:r>
        <w:rPr/>
        <w:t>Actions:</w:t>
        <w:tab/>
        <w:t>B. Redmond to finalize next week with D. Hart.</w:t>
      </w:r>
    </w:p>
    <w:p>
      <w:pPr>
        <w:pStyle w:val="Body"/>
        <w:rPr>
          <w:b/>
        </w:rPr>
      </w:pPr>
      <w:r>
        <w:rPr>
          <w:b/>
        </w:rPr>
      </w:r>
    </w:p>
    <w:p>
      <w:pPr>
        <w:pStyle w:val="Body"/>
        <w:rPr>
          <w:b/>
        </w:rPr>
      </w:pPr>
      <w:r>
        <w:rPr>
          <w:b/>
        </w:rPr>
      </w:r>
    </w:p>
    <w:p>
      <w:pPr>
        <w:pStyle w:val="Body"/>
        <w:numPr>
          <w:ilvl w:val="0"/>
          <w:numId w:val="2"/>
        </w:numPr>
        <w:rPr>
          <w:b/>
        </w:rPr>
      </w:pPr>
      <w:r>
        <w:rPr>
          <w:b/>
        </w:rPr>
        <w:t>Monetizations (J. Deffner, R. Dutt): Commercial points agreed - finalize documents and execute.</w:t>
      </w:r>
    </w:p>
    <w:p>
      <w:pPr>
        <w:pStyle w:val="Body"/>
        <w:ind w:start="0" w:end="0"/>
        <w:rPr>
          <w:b/>
        </w:rPr>
      </w:pPr>
      <w:r>
        <w:rPr>
          <w:b/>
        </w:rPr>
      </w:r>
    </w:p>
    <w:p>
      <w:pPr>
        <w:pStyle w:val="Body"/>
        <w:ind w:hanging="1443" w:start="2160" w:end="0"/>
        <w:jc w:val="both"/>
        <w:rPr/>
      </w:pPr>
      <w:r>
        <w:rPr/>
        <w:t>Status:</w:t>
        <w:tab/>
        <w:t>Bammel Gas Trust:  Documents sent to banks for final review.   Execute agreements next Wednesday.</w:t>
      </w:r>
    </w:p>
    <w:p>
      <w:pPr>
        <w:pStyle w:val="Body"/>
        <w:ind w:hanging="1443" w:start="2160" w:end="0"/>
        <w:jc w:val="both"/>
        <w:rPr/>
      </w:pPr>
      <w:r>
        <w:rPr/>
      </w:r>
    </w:p>
    <w:p>
      <w:pPr>
        <w:pStyle w:val="Body"/>
        <w:ind w:hanging="1443" w:start="2160" w:end="0"/>
        <w:jc w:val="both"/>
        <w:rPr/>
      </w:pPr>
      <w:r>
        <w:rPr/>
        <w:tab/>
        <w:t>Mid-Texas/Looper – Pruedntial discussions continue on form of reps and warranties.  Hancock is commercially agreed – documents sent out.</w:t>
      </w:r>
    </w:p>
    <w:p>
      <w:pPr>
        <w:pStyle w:val="Body"/>
        <w:ind w:hanging="1443" w:start="2160" w:end="0"/>
        <w:jc w:val="both"/>
        <w:rPr/>
      </w:pPr>
      <w:r>
        <w:rPr/>
      </w:r>
    </w:p>
    <w:p>
      <w:pPr>
        <w:pStyle w:val="Body"/>
        <w:ind w:hanging="1443" w:start="2160" w:end="0"/>
        <w:jc w:val="both"/>
        <w:rPr/>
      </w:pPr>
      <w:r>
        <w:rPr/>
        <w:tab/>
        <w:t>Mid-Texas Partnership Agreement – Finalizing language with Duke Energy Field Services.</w:t>
      </w:r>
    </w:p>
    <w:p>
      <w:pPr>
        <w:pStyle w:val="Body"/>
        <w:ind w:hanging="1443" w:start="2160" w:end="0"/>
        <w:jc w:val="both"/>
        <w:rPr/>
      </w:pPr>
      <w:r>
        <w:rPr/>
      </w:r>
    </w:p>
    <w:p>
      <w:pPr>
        <w:pStyle w:val="Body"/>
        <w:ind w:hanging="1443" w:start="2160" w:end="0"/>
        <w:jc w:val="both"/>
        <w:rPr/>
      </w:pPr>
      <w:r>
        <w:rPr/>
        <w:tab/>
        <w:t>Rock – Signature from banks this weeks.  Working on indemnity language with Hanover. Expect to sign on Tuesday.</w:t>
      </w:r>
    </w:p>
    <w:p>
      <w:pPr>
        <w:pStyle w:val="Body"/>
        <w:ind w:hanging="1443" w:start="2160" w:end="0"/>
        <w:jc w:val="both"/>
        <w:rPr/>
      </w:pPr>
      <w:r>
        <w:rPr/>
      </w:r>
    </w:p>
    <w:p>
      <w:pPr>
        <w:pStyle w:val="Body"/>
        <w:ind w:hanging="1443" w:start="2160" w:end="0"/>
        <w:jc w:val="both"/>
        <w:rPr/>
      </w:pPr>
      <w:r>
        <w:rPr/>
        <w:t>Actions:</w:t>
        <w:tab/>
        <w:t>R. Dutt/B. Glissen to finalize with Pru.  B. Redmond to get Duke and Hanover signatures.</w:t>
      </w:r>
    </w:p>
    <w:p>
      <w:pPr>
        <w:pStyle w:val="Body"/>
        <w:ind w:hanging="720" w:start="720" w:end="0"/>
        <w:jc w:val="both"/>
        <w:rPr/>
      </w:pPr>
      <w:r>
        <w:rPr/>
      </w:r>
    </w:p>
    <w:p>
      <w:pPr>
        <w:pStyle w:val="Body"/>
        <w:ind w:hanging="720" w:start="720" w:end="0"/>
        <w:jc w:val="both"/>
        <w:rPr/>
      </w:pPr>
      <w:r>
        <w:rPr/>
      </w:r>
    </w:p>
    <w:p>
      <w:pPr>
        <w:pStyle w:val="Body"/>
        <w:ind w:hanging="720" w:start="720" w:end="0"/>
        <w:jc w:val="both"/>
        <w:rPr>
          <w:b/>
          <w:bCs/>
        </w:rPr>
      </w:pPr>
      <w:r>
        <w:rPr>
          <w:b/>
          <w:bCs/>
        </w:rPr>
        <w:t>16.</w:t>
        <w:tab/>
        <w:t>Revise P&amp;SA Schedules (S. Braband):  Underway.</w:t>
      </w:r>
    </w:p>
    <w:p>
      <w:pPr>
        <w:pStyle w:val="Body"/>
        <w:ind w:hanging="1443" w:start="2160" w:end="0"/>
        <w:jc w:val="both"/>
        <w:rPr/>
      </w:pPr>
      <w:r>
        <w:rPr/>
        <w:tab/>
      </w:r>
    </w:p>
    <w:p>
      <w:pPr>
        <w:pStyle w:val="Body"/>
        <w:ind w:hanging="1443" w:start="2160" w:end="0"/>
        <w:jc w:val="both"/>
        <w:rPr/>
      </w:pPr>
      <w:r>
        <w:rPr/>
        <w:t>Status:</w:t>
        <w:tab/>
        <w:t xml:space="preserve">Revised schedule to be delivered to AEP by 15 May.  AEP/ENA to discuss and finalize next week.  </w:t>
      </w:r>
    </w:p>
    <w:p>
      <w:pPr>
        <w:pStyle w:val="Body"/>
        <w:ind w:hanging="1443" w:start="2160" w:end="0"/>
        <w:jc w:val="both"/>
        <w:rPr/>
      </w:pPr>
      <w:r>
        <w:rPr/>
      </w:r>
    </w:p>
    <w:p>
      <w:pPr>
        <w:pStyle w:val="Body"/>
        <w:ind w:hanging="1443" w:start="2160" w:end="0"/>
        <w:jc w:val="both"/>
        <w:rPr/>
      </w:pPr>
      <w:r>
        <w:rPr/>
        <w:t>Actions:</w:t>
        <w:tab/>
        <w:t>AEP/Enron to meet next week to review and discuss revised schedules.</w:t>
      </w:r>
    </w:p>
    <w:p>
      <w:pPr>
        <w:pStyle w:val="Body"/>
        <w:rPr>
          <w:b/>
        </w:rPr>
      </w:pPr>
      <w:r>
        <w:rPr>
          <w:b/>
        </w:rPr>
      </w:r>
    </w:p>
    <w:p>
      <w:pPr>
        <w:pStyle w:val="CopyList"/>
        <w:rPr>
          <w:b/>
        </w:rPr>
      </w:pPr>
      <w:r>
        <w:rPr>
          <w:b/>
        </w:rPr>
      </w:r>
    </w:p>
    <w:p>
      <w:pPr>
        <w:pStyle w:val="CopyList"/>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17"/>
        </w:tabs>
        <w:ind w:start="717" w:hanging="645"/>
      </w:pPr>
      <w:rPr/>
    </w:lvl>
    <w:lvl w:ilvl="1">
      <w:start w:val="1"/>
      <w:numFmt w:val="lowerLetter"/>
      <w:lvlText w:val="%2."/>
      <w:lvlJc w:val="start"/>
      <w:pPr>
        <w:tabs>
          <w:tab w:val="num" w:pos="1152"/>
        </w:tabs>
        <w:ind w:start="1152" w:hanging="360"/>
      </w:p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3">
    <w:lvl w:ilvl="0">
      <w:start w:val="4"/>
      <w:numFmt w:val="decimal"/>
      <w:lvlText w:val="%1."/>
      <w:lvlJc w:val="start"/>
      <w:pPr>
        <w:tabs>
          <w:tab w:val="num" w:pos="717"/>
        </w:tabs>
        <w:ind w:start="717" w:hanging="645"/>
      </w:pPr>
      <w:rPr/>
    </w:lvl>
    <w:lvl w:ilvl="1">
      <w:start w:val="1"/>
      <w:numFmt w:val="lowerLetter"/>
      <w:lvlText w:val="%2."/>
      <w:lvlJc w:val="start"/>
      <w:pPr>
        <w:tabs>
          <w:tab w:val="num" w:pos="1152"/>
        </w:tabs>
        <w:ind w:start="1152" w:hanging="360"/>
      </w:p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2001-05-25T18:35:00Z</dcterms:created>
  <dc:creator>bredmon</dc:creator>
  <dc:description/>
  <dc:language>en-CA</dc:language>
  <cp:lastModifiedBy>bredmon</cp:lastModifiedBy>
  <cp:lastPrinted>2001-05-25T16:05:00Z</cp:lastPrinted>
  <dcterms:modified xsi:type="dcterms:W3CDTF">2001-05-25T18:35:00Z</dcterms:modified>
  <cp:revision>3</cp:revision>
  <dc:subject/>
  <dc:title>Better, Faster, Simpler Memo </dc:title>
</cp:coreProperties>
</file>