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Brian Redmond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HPL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Transition Items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May 15, 2001</w:t>
            </w:r>
          </w:p>
        </w:tc>
      </w:tr>
    </w:tbl>
    <w:p>
      <w:pPr>
        <w:pStyle w:val="Body"/>
        <w:rPr/>
      </w:pPr>
      <w:r>
        <w:rPr/>
      </w:r>
      <w:bookmarkStart w:id="1" w:name="StartOfMemo"/>
      <w:bookmarkStart w:id="2" w:name="StartOfMemo"/>
      <w:bookmarkEnd w:id="2"/>
    </w:p>
    <w:p>
      <w:pPr>
        <w:pStyle w:val="Body"/>
        <w:rPr>
          <w:b/>
        </w:rPr>
      </w:pPr>
      <w:r>
        <w:rPr>
          <w:b/>
        </w:rPr>
        <w:t xml:space="preserve">The following provides an update as to the critical path items to Close the HPL transaction.  The 1 June Close date may slip to 1 July due to either: (i) the DoJ’s request for additional time to review the transaction, or (ii) the Texas AG’s office request that AEP to execute a protocol governing the operation of the pipeline. </w:t>
      </w:r>
    </w:p>
    <w:p>
      <w:pPr>
        <w:pStyle w:val="Body"/>
        <w:rPr>
          <w:b/>
        </w:rPr>
      </w:pPr>
      <w:r>
        <w:rPr>
          <w:b/>
        </w:rPr>
      </w:r>
    </w:p>
    <w:p>
      <w:pPr>
        <w:pStyle w:val="Body"/>
        <w:numPr>
          <w:ilvl w:val="0"/>
          <w:numId w:val="2"/>
        </w:numPr>
        <w:rPr>
          <w:b/>
        </w:rPr>
      </w:pPr>
      <w:r>
        <w:rPr>
          <w:b/>
        </w:rPr>
        <w:t>Hart Scott Rodino:  (R. Shapiro, M. Haedicke, B. Gray, A. Ballard):  Awaiting DoJ decision.</w:t>
      </w:r>
    </w:p>
    <w:p>
      <w:pPr>
        <w:pStyle w:val="Body"/>
        <w:rPr>
          <w:b/>
        </w:rPr>
      </w:pPr>
      <w:r>
        <w:rPr>
          <w:b/>
        </w:rPr>
      </w:r>
    </w:p>
    <w:p>
      <w:pPr>
        <w:pStyle w:val="Body"/>
        <w:ind w:hanging="1443" w:start="2160" w:end="0"/>
        <w:jc w:val="both"/>
        <w:rPr/>
      </w:pPr>
      <w:r>
        <w:rPr/>
        <w:t>Status:</w:t>
        <w:tab/>
        <w:t xml:space="preserve">DoJ has indicated they will inform Enron/AEP by 18 May if they require additional time to analyze the transaction.  Additional review would delay the Close to 1 July; however, initial indications are positive.   </w:t>
      </w:r>
    </w:p>
    <w:p>
      <w:pPr>
        <w:pStyle w:val="Body"/>
        <w:ind w:hanging="1443" w:start="2160" w:end="0"/>
        <w:jc w:val="both"/>
        <w:rPr/>
      </w:pPr>
      <w:r>
        <w:rPr/>
      </w:r>
    </w:p>
    <w:p>
      <w:pPr>
        <w:pStyle w:val="Body"/>
        <w:ind w:hanging="1443" w:start="2160" w:end="0"/>
        <w:jc w:val="both"/>
        <w:rPr/>
      </w:pPr>
      <w:r>
        <w:rPr/>
        <w:t>Actions:</w:t>
        <w:tab/>
        <w:t xml:space="preserve">Enron/AEP has scheduled a call with DoJ on 18 May to discuss their intentions with respect to approving the transaction.    </w:t>
      </w:r>
    </w:p>
    <w:p>
      <w:pPr>
        <w:pStyle w:val="Body"/>
        <w:rPr>
          <w:b/>
        </w:rPr>
      </w:pPr>
      <w:r>
        <w:rPr>
          <w:b/>
        </w:rPr>
      </w:r>
    </w:p>
    <w:p>
      <w:pPr>
        <w:pStyle w:val="Body"/>
        <w:rPr>
          <w:b/>
        </w:rPr>
      </w:pPr>
      <w:r>
        <w:rPr>
          <w:b/>
        </w:rPr>
      </w:r>
    </w:p>
    <w:p>
      <w:pPr>
        <w:pStyle w:val="Body"/>
        <w:numPr>
          <w:ilvl w:val="0"/>
          <w:numId w:val="2"/>
        </w:numPr>
        <w:rPr>
          <w:b/>
        </w:rPr>
      </w:pPr>
      <w:r>
        <w:rPr>
          <w:b/>
        </w:rPr>
        <w:t>Texas AG Office:  (R. Shapiro, M. Haedicke, B. Gray, A. Ballard):  Discussions ongoing between Texas AG Office and AEP</w:t>
      </w:r>
    </w:p>
    <w:p>
      <w:pPr>
        <w:pStyle w:val="Body"/>
        <w:rPr>
          <w:b/>
        </w:rPr>
      </w:pPr>
      <w:r>
        <w:rPr>
          <w:b/>
        </w:rPr>
      </w:r>
    </w:p>
    <w:p>
      <w:pPr>
        <w:pStyle w:val="Body"/>
        <w:ind w:hanging="1443" w:start="2160" w:end="0"/>
        <w:jc w:val="both"/>
        <w:rPr/>
      </w:pPr>
      <w:r>
        <w:rPr/>
        <w:t>Status:</w:t>
        <w:tab/>
        <w:t>The Texas AG’s office has requested that AEP agree to take specific measures to ensure compliance with the Code of Conduct governing intrastate pipelines in Texas.  AEP is in discussions with Texas AG office this week in regard to what those specific measures would entail.</w:t>
      </w:r>
    </w:p>
    <w:p>
      <w:pPr>
        <w:pStyle w:val="Body"/>
        <w:ind w:hanging="1443" w:start="2160" w:end="0"/>
        <w:jc w:val="both"/>
        <w:rPr/>
      </w:pPr>
      <w:r>
        <w:rPr/>
      </w:r>
    </w:p>
    <w:p>
      <w:pPr>
        <w:pStyle w:val="Body"/>
        <w:ind w:hanging="1443" w:start="2160" w:end="0"/>
        <w:jc w:val="both"/>
        <w:rPr/>
      </w:pPr>
      <w:r>
        <w:rPr/>
        <w:t>Actions:</w:t>
        <w:tab/>
        <w:t xml:space="preserve">Enron to meet with AEP on Thursday to discuss status of discussions.    </w:t>
      </w:r>
    </w:p>
    <w:p>
      <w:pPr>
        <w:pStyle w:val="Body"/>
        <w:ind w:start="0" w:end="0"/>
        <w:rPr/>
      </w:pPr>
      <w:r>
        <w:rPr/>
      </w:r>
    </w:p>
    <w:p>
      <w:pPr>
        <w:pStyle w:val="Body"/>
        <w:ind w:hanging="723" w:start="1440" w:end="0"/>
        <w:rPr>
          <w:b/>
        </w:rPr>
      </w:pPr>
      <w:r>
        <w:rPr>
          <w:b/>
        </w:rPr>
      </w:r>
    </w:p>
    <w:p>
      <w:pPr>
        <w:pStyle w:val="Body"/>
        <w:ind w:hanging="648" w:start="720" w:end="0"/>
        <w:rPr>
          <w:b/>
        </w:rPr>
      </w:pPr>
      <w:r>
        <w:rPr>
          <w:b/>
        </w:rPr>
        <w:t>3.</w:t>
        <w:tab/>
        <w:t>A/S Line Repair:  (B. Redmond, K. Kaase):  Smart pig runs will be completed by 17 May.</w:t>
      </w:r>
    </w:p>
    <w:p>
      <w:pPr>
        <w:pStyle w:val="Body"/>
        <w:rPr>
          <w:b/>
        </w:rPr>
      </w:pPr>
      <w:r>
        <w:rPr>
          <w:b/>
        </w:rPr>
      </w:r>
    </w:p>
    <w:p>
      <w:pPr>
        <w:pStyle w:val="Body"/>
        <w:ind w:hanging="1443" w:start="2160" w:end="0"/>
        <w:jc w:val="both"/>
        <w:rPr/>
      </w:pPr>
      <w:r>
        <w:rPr/>
        <w:t>Status:</w:t>
        <w:tab/>
        <w:t xml:space="preserve">The initial report for the Segment II smart pig run did not find any major problem areas.  Re-run of Segment I will be complete by 17 May.  A final report describing the results of the entire smart pig run will be issued by 24 May.  The repair of the Segment 1 river crossing will not be completed until 28 May.  Final certification of the pipeline will not be completed until mid to late June. </w:t>
      </w:r>
    </w:p>
    <w:p>
      <w:pPr>
        <w:pStyle w:val="Body"/>
        <w:ind w:hanging="1443" w:start="2160" w:end="0"/>
        <w:jc w:val="both"/>
        <w:rPr/>
      </w:pPr>
      <w:r>
        <w:rPr/>
      </w:r>
    </w:p>
    <w:p>
      <w:pPr>
        <w:pStyle w:val="Body"/>
        <w:ind w:hanging="1443" w:start="2160" w:end="0"/>
        <w:jc w:val="both"/>
        <w:rPr>
          <w:b/>
        </w:rPr>
      </w:pPr>
      <w:r>
        <w:rPr/>
        <w:t>Actions:</w:t>
        <w:tab/>
        <w:t>B. Redmond/A. Koehler to lead discussions with AEP regarding risk sharing for the A/S line once preliminary report is available for both Segment I and II.  This will allow the transaction to Close by 1 June.</w:t>
      </w:r>
    </w:p>
    <w:p>
      <w:pPr>
        <w:pStyle w:val="Body"/>
        <w:rPr>
          <w:b/>
        </w:rPr>
      </w:pPr>
      <w:r>
        <w:rPr>
          <w:b/>
        </w:rPr>
      </w:r>
    </w:p>
    <w:p>
      <w:pPr>
        <w:pStyle w:val="Body"/>
        <w:rPr>
          <w:b/>
        </w:rPr>
      </w:pPr>
      <w:r>
        <w:rPr>
          <w:b/>
        </w:rPr>
      </w:r>
    </w:p>
    <w:p>
      <w:pPr>
        <w:pStyle w:val="Body"/>
        <w:numPr>
          <w:ilvl w:val="0"/>
          <w:numId w:val="3"/>
        </w:numPr>
        <w:rPr>
          <w:b/>
        </w:rPr>
      </w:pPr>
      <w:r>
        <w:rPr>
          <w:b/>
        </w:rPr>
        <w:t>IT Systems (P. Bibi, T. Yanowski): HPL systems are now operational.</w:t>
      </w:r>
    </w:p>
    <w:p>
      <w:pPr>
        <w:pStyle w:val="Body"/>
        <w:rPr>
          <w:b/>
        </w:rPr>
      </w:pPr>
      <w:r>
        <w:rPr>
          <w:b/>
        </w:rPr>
      </w:r>
    </w:p>
    <w:p>
      <w:pPr>
        <w:pStyle w:val="Body"/>
        <w:ind w:hanging="1443" w:start="2160" w:end="0"/>
        <w:jc w:val="both"/>
        <w:rPr/>
      </w:pPr>
      <w:r>
        <w:rPr/>
        <w:t>Status:</w:t>
        <w:tab/>
        <w:t>AEP/Enron system tests have been completed.  A letter has been issued to AEP to notify them that we have met our requirements to Close.  B. Gray has delivered an agreement covering arrangements for lease of 15</w:t>
      </w:r>
      <w:r>
        <w:rPr>
          <w:vertAlign w:val="superscript"/>
        </w:rPr>
        <w:t>th</w:t>
      </w:r>
      <w:r>
        <w:rPr/>
        <w:t xml:space="preserve"> floor of 1201 Louisiana.</w:t>
      </w:r>
    </w:p>
    <w:p>
      <w:pPr>
        <w:pStyle w:val="Body"/>
        <w:ind w:hanging="1443" w:start="2160" w:end="0"/>
        <w:jc w:val="both"/>
        <w:rPr>
          <w:rFonts w:eastAsia="Arial"/>
        </w:rPr>
      </w:pPr>
      <w:r>
        <w:rPr>
          <w:rFonts w:eastAsia="Arial"/>
        </w:rPr>
        <w:t xml:space="preserve"> </w:t>
      </w:r>
    </w:p>
    <w:p>
      <w:pPr>
        <w:pStyle w:val="Body"/>
        <w:ind w:hanging="1443" w:start="2160" w:end="0"/>
        <w:jc w:val="both"/>
        <w:rPr/>
      </w:pPr>
      <w:r>
        <w:rPr/>
        <w:t>Actions:</w:t>
        <w:tab/>
        <w:t>B. Redmond/T. Yanowske to meet with D. Hart and D. Simpson (AEP) on Thursday to finalize 15</w:t>
      </w:r>
      <w:r>
        <w:rPr>
          <w:vertAlign w:val="superscript"/>
        </w:rPr>
        <w:t>th</w:t>
      </w:r>
      <w:r>
        <w:rPr/>
        <w:t xml:space="preserve"> floor lease arrangements.</w:t>
      </w:r>
    </w:p>
    <w:p>
      <w:pPr>
        <w:pStyle w:val="Body"/>
        <w:rPr>
          <w:b/>
        </w:rPr>
      </w:pPr>
      <w:r>
        <w:rPr>
          <w:b/>
        </w:rPr>
      </w:r>
    </w:p>
    <w:p>
      <w:pPr>
        <w:pStyle w:val="Body"/>
        <w:rPr>
          <w:b/>
        </w:rPr>
      </w:pPr>
      <w:r>
        <w:rPr>
          <w:b/>
        </w:rPr>
      </w:r>
    </w:p>
    <w:p>
      <w:pPr>
        <w:pStyle w:val="Body"/>
        <w:numPr>
          <w:ilvl w:val="0"/>
          <w:numId w:val="2"/>
        </w:numPr>
        <w:rPr>
          <w:b/>
        </w:rPr>
      </w:pPr>
      <w:r>
        <w:rPr>
          <w:b/>
        </w:rPr>
        <w:t xml:space="preserve">Treatment of HPL bank accounts after Closing (M. Perkins, A. Koehler):  AEP response requested </w:t>
      </w:r>
    </w:p>
    <w:p>
      <w:pPr>
        <w:pStyle w:val="Body"/>
        <w:ind w:hanging="1443" w:start="2160" w:end="0"/>
        <w:jc w:val="both"/>
        <w:rPr>
          <w:b/>
        </w:rPr>
      </w:pPr>
      <w:r>
        <w:rPr>
          <w:b/>
        </w:rPr>
      </w:r>
    </w:p>
    <w:p>
      <w:pPr>
        <w:pStyle w:val="Body"/>
        <w:ind w:hanging="1443" w:start="2160" w:end="0"/>
        <w:jc w:val="both"/>
        <w:rPr/>
      </w:pPr>
      <w:r>
        <w:rPr/>
        <w:t>Status:</w:t>
        <w:tab/>
        <w:t>Final version of the agreement governing the HPL bank accounts sent to AEP.</w:t>
      </w:r>
    </w:p>
    <w:p>
      <w:pPr>
        <w:pStyle w:val="Body"/>
        <w:ind w:hanging="1443" w:start="2160" w:end="0"/>
        <w:jc w:val="both"/>
        <w:rPr/>
      </w:pPr>
      <w:r>
        <w:rPr/>
      </w:r>
    </w:p>
    <w:p>
      <w:pPr>
        <w:pStyle w:val="Body"/>
        <w:ind w:hanging="1443" w:start="2160" w:end="0"/>
        <w:jc w:val="both"/>
        <w:rPr/>
      </w:pPr>
      <w:r>
        <w:rPr/>
        <w:t>Actions:</w:t>
        <w:tab/>
        <w:t>B. Redmond to meet with D. Hart this week to request a response.</w:t>
      </w:r>
    </w:p>
    <w:p>
      <w:pPr>
        <w:pStyle w:val="Body"/>
        <w:ind w:hanging="1443" w:start="2160" w:end="0"/>
        <w:jc w:val="both"/>
        <w:rPr>
          <w:b/>
        </w:rPr>
      </w:pPr>
      <w:r>
        <w:rPr>
          <w:rFonts w:eastAsia="Arial"/>
        </w:rPr>
        <w:t xml:space="preserve">  </w:t>
      </w:r>
    </w:p>
    <w:p>
      <w:pPr>
        <w:pStyle w:val="Body"/>
        <w:rPr>
          <w:b/>
        </w:rPr>
      </w:pPr>
      <w:r>
        <w:rPr>
          <w:b/>
        </w:rPr>
      </w:r>
    </w:p>
    <w:p>
      <w:pPr>
        <w:pStyle w:val="Body"/>
        <w:numPr>
          <w:ilvl w:val="0"/>
          <w:numId w:val="2"/>
        </w:numPr>
        <w:rPr/>
      </w:pPr>
      <w:r>
        <w:rPr>
          <w:b/>
        </w:rPr>
        <w:t>Treatment of Swaps for Fixed Price Deals (T. Rohauer/C. St. Claire):  AEP response requested</w:t>
      </w:r>
    </w:p>
    <w:p>
      <w:pPr>
        <w:pStyle w:val="Body"/>
        <w:ind w:hanging="1443" w:start="2160" w:end="0"/>
        <w:jc w:val="both"/>
        <w:rPr/>
      </w:pPr>
      <w:r>
        <w:rPr/>
      </w:r>
    </w:p>
    <w:p>
      <w:pPr>
        <w:pStyle w:val="Body"/>
        <w:ind w:hanging="1443" w:start="2160" w:end="0"/>
        <w:jc w:val="both"/>
        <w:rPr/>
      </w:pPr>
      <w:r>
        <w:rPr/>
        <w:t>Status:</w:t>
        <w:tab/>
        <w:t xml:space="preserve">“Form of Confirms” sent to AEP for final review and approval.   </w:t>
      </w:r>
    </w:p>
    <w:p>
      <w:pPr>
        <w:pStyle w:val="Body"/>
        <w:ind w:hanging="1443" w:start="2160" w:end="0"/>
        <w:jc w:val="both"/>
        <w:rPr/>
      </w:pPr>
      <w:r>
        <w:rPr/>
      </w:r>
    </w:p>
    <w:p>
      <w:pPr>
        <w:pStyle w:val="Body"/>
        <w:ind w:hanging="1443" w:start="2160" w:end="0"/>
        <w:jc w:val="both"/>
        <w:rPr/>
      </w:pPr>
      <w:r>
        <w:rPr/>
        <w:t>Actions:</w:t>
        <w:tab/>
        <w:t xml:space="preserve">B. Redmond to meet with D. Hart this week to get AEP’s agreement in writing.  </w:t>
      </w:r>
    </w:p>
    <w:p>
      <w:pPr>
        <w:pStyle w:val="Body"/>
        <w:rPr>
          <w:b/>
        </w:rPr>
      </w:pPr>
      <w:r>
        <w:rPr>
          <w:b/>
        </w:rPr>
      </w:r>
    </w:p>
    <w:p>
      <w:pPr>
        <w:pStyle w:val="Body"/>
        <w:rPr>
          <w:b/>
        </w:rPr>
      </w:pPr>
      <w:r>
        <w:rPr>
          <w:b/>
        </w:rPr>
      </w:r>
    </w:p>
    <w:p>
      <w:pPr>
        <w:pStyle w:val="Body"/>
        <w:numPr>
          <w:ilvl w:val="0"/>
          <w:numId w:val="2"/>
        </w:numPr>
        <w:rPr/>
      </w:pPr>
      <w:r>
        <w:rPr>
          <w:b/>
        </w:rPr>
        <w:t>PP&amp;E, Material Management Protocol:  (W. Colwell, J. Coffey):</w:t>
      </w:r>
    </w:p>
    <w:p>
      <w:pPr>
        <w:pStyle w:val="Body"/>
        <w:ind w:hanging="1443" w:start="2160" w:end="0"/>
        <w:jc w:val="both"/>
        <w:rPr/>
      </w:pPr>
      <w:r>
        <w:rPr/>
      </w:r>
    </w:p>
    <w:p>
      <w:pPr>
        <w:pStyle w:val="Body"/>
        <w:ind w:hanging="1443" w:start="2160" w:end="0"/>
        <w:jc w:val="both"/>
        <w:rPr/>
      </w:pPr>
      <w:r>
        <w:rPr/>
        <w:t>Status:</w:t>
        <w:tab/>
        <w:t>AEP has signified its agreement with the PP&amp;E/CWIP protocol and Materials Management Protocol.</w:t>
      </w:r>
    </w:p>
    <w:p>
      <w:pPr>
        <w:pStyle w:val="Body"/>
        <w:ind w:hanging="1443" w:start="2160" w:end="0"/>
        <w:jc w:val="both"/>
        <w:rPr/>
      </w:pPr>
      <w:r>
        <w:rPr/>
      </w:r>
    </w:p>
    <w:p>
      <w:pPr>
        <w:pStyle w:val="Body"/>
        <w:ind w:hanging="1443" w:start="2160" w:end="0"/>
        <w:jc w:val="both"/>
        <w:rPr/>
      </w:pPr>
      <w:r>
        <w:rPr/>
        <w:t>Actions:</w:t>
        <w:tab/>
        <w:t>B. Redmond to meet with D. Hart this week to get AEP’s agreement in writing.</w:t>
      </w:r>
    </w:p>
    <w:p>
      <w:pPr>
        <w:pStyle w:val="Body"/>
        <w:ind w:start="0" w:end="0"/>
        <w:rPr>
          <w:b/>
        </w:rPr>
      </w:pPr>
      <w:r>
        <w:rPr>
          <w:b/>
        </w:rPr>
      </w:r>
    </w:p>
    <w:p>
      <w:pPr>
        <w:pStyle w:val="Body"/>
        <w:rPr>
          <w:b/>
        </w:rPr>
      </w:pPr>
      <w:r>
        <w:rPr>
          <w:b/>
        </w:rPr>
      </w:r>
    </w:p>
    <w:p>
      <w:pPr>
        <w:pStyle w:val="Body"/>
        <w:numPr>
          <w:ilvl w:val="0"/>
          <w:numId w:val="2"/>
        </w:numPr>
        <w:rPr/>
      </w:pPr>
      <w:r>
        <w:rPr>
          <w:b/>
        </w:rPr>
        <w:t>Proceeds vs. Book Value of Assets Sold (W. Colwell, J. Coffey):</w:t>
      </w:r>
    </w:p>
    <w:p>
      <w:pPr>
        <w:pStyle w:val="Body"/>
        <w:ind w:hanging="1443" w:start="2160" w:end="0"/>
        <w:jc w:val="both"/>
        <w:rPr/>
      </w:pPr>
      <w:r>
        <w:rPr/>
      </w:r>
    </w:p>
    <w:p>
      <w:pPr>
        <w:pStyle w:val="Body"/>
        <w:ind w:hanging="1443" w:start="2160" w:end="0"/>
        <w:jc w:val="both"/>
        <w:rPr/>
      </w:pPr>
      <w:r>
        <w:rPr/>
        <w:t>Status:</w:t>
        <w:tab/>
        <w:t>Enron submitted a proposal to AEP to shift $20MM of value between P&amp;SA and Sublease.  AEP has agreed to this change in principal – but wants to “hold” this until the end (to trade).</w:t>
      </w:r>
    </w:p>
    <w:p>
      <w:pPr>
        <w:pStyle w:val="Body"/>
        <w:ind w:hanging="1443" w:start="2160" w:end="0"/>
        <w:jc w:val="both"/>
        <w:rPr/>
      </w:pPr>
      <w:r>
        <w:rPr/>
      </w:r>
    </w:p>
    <w:p>
      <w:pPr>
        <w:pStyle w:val="Body"/>
        <w:ind w:hanging="1443" w:start="2160" w:end="0"/>
        <w:jc w:val="both"/>
        <w:rPr/>
      </w:pPr>
      <w:r>
        <w:rPr/>
        <w:t>Actions:</w:t>
        <w:tab/>
        <w:t>B. Redmond to meet with D. Hart this week to discuss.</w:t>
      </w:r>
    </w:p>
    <w:p>
      <w:pPr>
        <w:pStyle w:val="Body"/>
        <w:ind w:start="0" w:end="0"/>
        <w:rPr>
          <w:b/>
        </w:rPr>
      </w:pPr>
      <w:r>
        <w:rPr>
          <w:b/>
        </w:rPr>
      </w:r>
    </w:p>
    <w:p>
      <w:pPr>
        <w:pStyle w:val="Body"/>
        <w:ind w:start="0" w:end="0"/>
        <w:rPr>
          <w:b/>
        </w:rPr>
      </w:pPr>
      <w:r>
        <w:rPr>
          <w:b/>
        </w:rPr>
      </w:r>
    </w:p>
    <w:p>
      <w:pPr>
        <w:pStyle w:val="Body"/>
        <w:numPr>
          <w:ilvl w:val="0"/>
          <w:numId w:val="2"/>
        </w:numPr>
        <w:rPr>
          <w:b/>
        </w:rPr>
      </w:pPr>
      <w:r>
        <w:rPr>
          <w:b/>
        </w:rPr>
        <w:t>HR Issues (D. Oxley, F. Mayes): Finalize list of employees transferring to AEP.</w:t>
      </w:r>
    </w:p>
    <w:p>
      <w:pPr>
        <w:pStyle w:val="Body"/>
        <w:ind w:start="0" w:end="0"/>
        <w:rPr>
          <w:b/>
        </w:rPr>
      </w:pPr>
      <w:r>
        <w:rPr>
          <w:b/>
        </w:rPr>
      </w:r>
    </w:p>
    <w:p>
      <w:pPr>
        <w:pStyle w:val="Body"/>
        <w:ind w:hanging="1443" w:start="2160" w:end="0"/>
        <w:jc w:val="both"/>
        <w:rPr/>
      </w:pPr>
      <w:r>
        <w:rPr/>
        <w:t>Status:</w:t>
        <w:tab/>
        <w:t>The status of all persons either transferring to AEP, remaining with Enron, or being severed by AEP has been established.</w:t>
      </w:r>
    </w:p>
    <w:p>
      <w:pPr>
        <w:pStyle w:val="Body"/>
        <w:ind w:hanging="1443" w:start="2160" w:end="0"/>
        <w:jc w:val="both"/>
        <w:rPr/>
      </w:pPr>
      <w:r>
        <w:rPr/>
      </w:r>
    </w:p>
    <w:p>
      <w:pPr>
        <w:pStyle w:val="Body"/>
        <w:ind w:hanging="1443" w:start="2160" w:end="0"/>
        <w:jc w:val="both"/>
        <w:rPr/>
      </w:pPr>
      <w:r>
        <w:rPr/>
        <w:t>Actions:</w:t>
        <w:tab/>
        <w:t xml:space="preserve">F. Mayes to develop a back-up plan if transaction does not Close until 1 July. </w:t>
      </w:r>
    </w:p>
    <w:p>
      <w:pPr>
        <w:pStyle w:val="Body"/>
        <w:ind w:start="0" w:end="0"/>
        <w:rPr/>
      </w:pPr>
      <w:r>
        <w:rPr/>
      </w:r>
    </w:p>
    <w:p>
      <w:pPr>
        <w:pStyle w:val="Body"/>
        <w:ind w:start="0" w:end="0"/>
        <w:rPr>
          <w:b/>
        </w:rPr>
      </w:pPr>
      <w:r>
        <w:rPr>
          <w:b/>
        </w:rPr>
      </w:r>
    </w:p>
    <w:p>
      <w:pPr>
        <w:pStyle w:val="Body"/>
        <w:numPr>
          <w:ilvl w:val="0"/>
          <w:numId w:val="2"/>
        </w:numPr>
        <w:rPr>
          <w:b/>
        </w:rPr>
      </w:pPr>
      <w:r>
        <w:rPr>
          <w:b/>
        </w:rPr>
        <w:t xml:space="preserve">Replacement of Enron Guarantees (M. Perkins, A. Koehler):  Send transfer letters to counter-parties. </w:t>
      </w:r>
    </w:p>
    <w:p>
      <w:pPr>
        <w:pStyle w:val="Body"/>
        <w:ind w:start="0" w:end="0"/>
        <w:rPr>
          <w:b/>
        </w:rPr>
      </w:pPr>
      <w:r>
        <w:rPr>
          <w:b/>
        </w:rPr>
      </w:r>
    </w:p>
    <w:p>
      <w:pPr>
        <w:pStyle w:val="Body"/>
        <w:ind w:hanging="1443" w:start="2160" w:end="0"/>
        <w:jc w:val="both"/>
        <w:rPr/>
      </w:pPr>
      <w:r>
        <w:rPr/>
        <w:t>Status:</w:t>
        <w:tab/>
        <w:t>AEP responded with comments to “Form of Guarantee Release”.  Enron provided additional information on “net HPL obligations” under the guarantees they would be assuming.</w:t>
      </w:r>
    </w:p>
    <w:p>
      <w:pPr>
        <w:pStyle w:val="Body"/>
        <w:ind w:hanging="1443" w:start="2160" w:end="0"/>
        <w:jc w:val="both"/>
        <w:rPr/>
      </w:pPr>
      <w:r>
        <w:rPr/>
      </w:r>
    </w:p>
    <w:p>
      <w:pPr>
        <w:pStyle w:val="Body"/>
        <w:ind w:hanging="1443" w:start="2160" w:end="0"/>
        <w:jc w:val="both"/>
        <w:rPr/>
      </w:pPr>
      <w:r>
        <w:rPr/>
        <w:t>Actions:</w:t>
        <w:tab/>
        <w:t>A. Koehler to send revised agreement to AEP this week based on their comments.</w:t>
      </w:r>
    </w:p>
    <w:p>
      <w:pPr>
        <w:pStyle w:val="Body"/>
        <w:ind w:hanging="1443" w:start="2160" w:end="0"/>
        <w:jc w:val="both"/>
        <w:rPr/>
      </w:pPr>
      <w:r>
        <w:rPr/>
      </w:r>
    </w:p>
    <w:p>
      <w:pPr>
        <w:pStyle w:val="Body"/>
        <w:ind w:hanging="1443" w:start="2160" w:end="0"/>
        <w:jc w:val="both"/>
        <w:rPr>
          <w:b/>
        </w:rPr>
      </w:pPr>
      <w:r>
        <w:rPr>
          <w:b/>
        </w:rPr>
      </w:r>
    </w:p>
    <w:p>
      <w:pPr>
        <w:pStyle w:val="Body"/>
        <w:numPr>
          <w:ilvl w:val="0"/>
          <w:numId w:val="2"/>
        </w:numPr>
        <w:rPr>
          <w:b/>
        </w:rPr>
      </w:pPr>
      <w:r>
        <w:rPr>
          <w:b/>
        </w:rPr>
        <w:t>Business Operations Processes (S. Beck, B. Hall): Need AEP response on protocol governing back-office functions before, during, and after the Closing Date.</w:t>
      </w:r>
    </w:p>
    <w:p>
      <w:pPr>
        <w:pStyle w:val="Body"/>
        <w:rPr>
          <w:b/>
        </w:rPr>
      </w:pPr>
      <w:r>
        <w:rPr>
          <w:b/>
        </w:rPr>
      </w:r>
    </w:p>
    <w:p>
      <w:pPr>
        <w:pStyle w:val="Body"/>
        <w:ind w:hanging="1443" w:start="2160" w:end="0"/>
        <w:jc w:val="both"/>
        <w:rPr/>
      </w:pPr>
      <w:r>
        <w:rPr/>
        <w:t>Status:</w:t>
        <w:tab/>
        <w:t>Protocols sent to AEP governing business processes and procedures prior to and post Close.</w:t>
      </w:r>
    </w:p>
    <w:p>
      <w:pPr>
        <w:pStyle w:val="Body"/>
        <w:ind w:hanging="1443" w:start="2160" w:end="0"/>
        <w:jc w:val="both"/>
        <w:rPr/>
      </w:pPr>
      <w:r>
        <w:rPr/>
      </w:r>
    </w:p>
    <w:p>
      <w:pPr>
        <w:pStyle w:val="Body"/>
        <w:ind w:hanging="1443" w:start="2160" w:end="0"/>
        <w:jc w:val="both"/>
        <w:rPr>
          <w:b/>
        </w:rPr>
      </w:pPr>
      <w:r>
        <w:rPr/>
        <w:t>Actions:</w:t>
        <w:tab/>
        <w:t>B. Hall to follow up with AEP on Tuesday to resolve identified issue about use of HPL contract employees to close HPL May books post-Close</w:t>
      </w:r>
    </w:p>
    <w:p>
      <w:pPr>
        <w:pStyle w:val="Body"/>
        <w:rPr>
          <w:b/>
        </w:rPr>
      </w:pPr>
      <w:r>
        <w:rPr>
          <w:b/>
        </w:rPr>
      </w:r>
    </w:p>
    <w:p>
      <w:pPr>
        <w:pStyle w:val="Body"/>
        <w:rPr>
          <w:b/>
        </w:rPr>
      </w:pPr>
      <w:r>
        <w:rPr>
          <w:b/>
        </w:rPr>
      </w:r>
    </w:p>
    <w:p>
      <w:pPr>
        <w:pStyle w:val="Body"/>
        <w:numPr>
          <w:ilvl w:val="0"/>
          <w:numId w:val="2"/>
        </w:numPr>
        <w:rPr>
          <w:b/>
        </w:rPr>
      </w:pPr>
      <w:r>
        <w:rPr>
          <w:b/>
        </w:rPr>
        <w:t>Imbalances, A/R (T. Martin, E. Gottlob, S. Beck, B. Hall):  Focused effort on resolving prior to Close.</w:t>
      </w:r>
    </w:p>
    <w:p>
      <w:pPr>
        <w:pStyle w:val="Body"/>
        <w:rPr>
          <w:b/>
        </w:rPr>
      </w:pPr>
      <w:r>
        <w:rPr>
          <w:b/>
        </w:rPr>
      </w:r>
    </w:p>
    <w:p>
      <w:pPr>
        <w:pStyle w:val="Body"/>
        <w:ind w:hanging="1443" w:start="2160" w:end="0"/>
        <w:jc w:val="both"/>
        <w:rPr/>
      </w:pPr>
      <w:r>
        <w:rPr/>
        <w:t>Status:</w:t>
        <w:tab/>
        <w:t>Sales A/R exposure has been reduced to $1.5 MM.  Now working on imbalances and LAU4</w:t>
      </w:r>
    </w:p>
    <w:p>
      <w:pPr>
        <w:pStyle w:val="Body"/>
        <w:ind w:hanging="1443" w:start="2160" w:end="0"/>
        <w:jc w:val="both"/>
        <w:rPr/>
      </w:pPr>
      <w:r>
        <w:rPr/>
      </w:r>
    </w:p>
    <w:p>
      <w:pPr>
        <w:pStyle w:val="Body"/>
        <w:ind w:hanging="1443" w:start="2160" w:end="0"/>
        <w:jc w:val="both"/>
        <w:rPr>
          <w:b/>
        </w:rPr>
      </w:pPr>
      <w:r>
        <w:rPr/>
        <w:t>Actions:</w:t>
        <w:tab/>
        <w:t>J. Wallis to continue review meetings each Thursday to address outstanding A/R balances.</w:t>
      </w:r>
    </w:p>
    <w:p>
      <w:pPr>
        <w:pStyle w:val="Body"/>
        <w:ind w:start="0" w:end="0"/>
        <w:rPr>
          <w:b/>
        </w:rPr>
      </w:pPr>
      <w:r>
        <w:rPr>
          <w:b/>
        </w:rPr>
      </w:r>
    </w:p>
    <w:p>
      <w:pPr>
        <w:pStyle w:val="Body"/>
        <w:ind w:start="0" w:end="0"/>
        <w:rPr>
          <w:b/>
        </w:rPr>
      </w:pPr>
      <w:r>
        <w:rPr>
          <w:b/>
        </w:rPr>
      </w:r>
    </w:p>
    <w:p>
      <w:pPr>
        <w:pStyle w:val="Body"/>
        <w:numPr>
          <w:ilvl w:val="0"/>
          <w:numId w:val="2"/>
        </w:numPr>
        <w:rPr>
          <w:b/>
        </w:rPr>
      </w:pPr>
      <w:r>
        <w:rPr>
          <w:b/>
        </w:rPr>
        <w:t xml:space="preserve">Books &amp; Records (C. Gilley, A. Koehler): Establish procedures for handling post-closing information. </w:t>
      </w:r>
    </w:p>
    <w:p>
      <w:pPr>
        <w:pStyle w:val="Body"/>
        <w:ind w:start="0" w:end="0"/>
        <w:rPr>
          <w:b/>
        </w:rPr>
      </w:pPr>
      <w:r>
        <w:rPr>
          <w:b/>
        </w:rPr>
      </w:r>
    </w:p>
    <w:p>
      <w:pPr>
        <w:pStyle w:val="Body"/>
        <w:ind w:hanging="1443" w:start="2160" w:end="0"/>
        <w:jc w:val="both"/>
        <w:rPr/>
      </w:pPr>
      <w:r>
        <w:rPr/>
        <w:t>Status:</w:t>
        <w:tab/>
        <w:t>Enron has delivered to AEP the list of Books and Records to be delivered at Closing.  AEP must respond to protocol covering retention schedule (6yrs of historical records).</w:t>
      </w:r>
    </w:p>
    <w:p>
      <w:pPr>
        <w:pStyle w:val="Body"/>
        <w:ind w:hanging="1443" w:start="2160" w:end="0"/>
        <w:jc w:val="both"/>
        <w:rPr/>
      </w:pPr>
      <w:r>
        <w:rPr/>
      </w:r>
    </w:p>
    <w:p>
      <w:pPr>
        <w:pStyle w:val="Body"/>
        <w:ind w:hanging="1440" w:start="2160" w:end="0"/>
        <w:rPr/>
      </w:pPr>
      <w:r>
        <w:rPr/>
        <w:t>Actions:</w:t>
        <w:tab/>
        <w:t>A. Koehler to finalize retention protocol this week with AEP Gen Counsel.</w:t>
      </w:r>
    </w:p>
    <w:p>
      <w:pPr>
        <w:pStyle w:val="Body"/>
        <w:rPr>
          <w:b/>
        </w:rPr>
      </w:pPr>
      <w:r>
        <w:rPr>
          <w:b/>
        </w:rPr>
      </w:r>
    </w:p>
    <w:p>
      <w:pPr>
        <w:pStyle w:val="Body"/>
        <w:rPr>
          <w:b/>
        </w:rPr>
      </w:pPr>
      <w:r>
        <w:rPr>
          <w:b/>
        </w:rPr>
      </w:r>
    </w:p>
    <w:p>
      <w:pPr>
        <w:pStyle w:val="Body"/>
        <w:numPr>
          <w:ilvl w:val="0"/>
          <w:numId w:val="2"/>
        </w:numPr>
        <w:rPr>
          <w:b/>
        </w:rPr>
      </w:pPr>
      <w:r>
        <w:rPr>
          <w:b/>
        </w:rPr>
        <w:t xml:space="preserve">Coastline vs. Interest Payments Trade (B. Redmond, A. Koehler): </w:t>
      </w:r>
    </w:p>
    <w:p>
      <w:pPr>
        <w:pStyle w:val="Body"/>
        <w:ind w:start="0" w:end="0"/>
        <w:rPr>
          <w:b/>
        </w:rPr>
      </w:pPr>
      <w:r>
        <w:rPr>
          <w:b/>
        </w:rPr>
      </w:r>
    </w:p>
    <w:p>
      <w:pPr>
        <w:pStyle w:val="Body"/>
        <w:ind w:hanging="1443" w:start="2160" w:end="0"/>
        <w:jc w:val="both"/>
        <w:rPr/>
      </w:pPr>
      <w:r>
        <w:rPr/>
        <w:t>Status:</w:t>
        <w:tab/>
        <w:t>Proposal sent to AEP regarding AEP assuming Coastline law suite liabilities in exchange for 1 month worth of interest payments.</w:t>
      </w:r>
    </w:p>
    <w:p>
      <w:pPr>
        <w:pStyle w:val="Body"/>
        <w:ind w:hanging="1443" w:start="2160" w:end="0"/>
        <w:jc w:val="both"/>
        <w:rPr/>
      </w:pPr>
      <w:r>
        <w:rPr/>
      </w:r>
    </w:p>
    <w:p>
      <w:pPr>
        <w:pStyle w:val="Body"/>
        <w:ind w:hanging="1443" w:start="2160" w:end="0"/>
        <w:jc w:val="both"/>
        <w:rPr/>
      </w:pPr>
      <w:r>
        <w:rPr/>
        <w:t>Actions:</w:t>
        <w:tab/>
        <w:t>B. Redmond to discuss proposal with D. Hart this week.</w:t>
      </w:r>
    </w:p>
    <w:p>
      <w:pPr>
        <w:pStyle w:val="Body"/>
        <w:rPr>
          <w:b/>
        </w:rPr>
      </w:pPr>
      <w:r>
        <w:rPr>
          <w:b/>
        </w:rPr>
      </w:r>
    </w:p>
    <w:p>
      <w:pPr>
        <w:pStyle w:val="Body"/>
        <w:rPr>
          <w:b/>
        </w:rPr>
      </w:pPr>
      <w:r>
        <w:rPr>
          <w:b/>
        </w:rPr>
      </w:r>
    </w:p>
    <w:p>
      <w:pPr>
        <w:pStyle w:val="Body"/>
        <w:numPr>
          <w:ilvl w:val="0"/>
          <w:numId w:val="2"/>
        </w:numPr>
        <w:rPr>
          <w:b/>
        </w:rPr>
      </w:pPr>
      <w:r>
        <w:rPr>
          <w:b/>
        </w:rPr>
        <w:t>Monetizations (J. Deffner, R. Dutt): Finalize deal with Bank of Australia</w:t>
      </w:r>
    </w:p>
    <w:p>
      <w:pPr>
        <w:pStyle w:val="Body"/>
        <w:ind w:start="0" w:end="0"/>
        <w:rPr>
          <w:b/>
        </w:rPr>
      </w:pPr>
      <w:r>
        <w:rPr>
          <w:b/>
        </w:rPr>
      </w:r>
    </w:p>
    <w:p>
      <w:pPr>
        <w:pStyle w:val="Body"/>
        <w:ind w:hanging="1443" w:start="2160" w:end="0"/>
        <w:jc w:val="both"/>
        <w:rPr/>
      </w:pPr>
      <w:r>
        <w:rPr/>
        <w:t>Status:</w:t>
        <w:tab/>
        <w:t xml:space="preserve">Bammel Gas Trust:  Sumitomo has given their consent; National Austrailian Bank is applying for final consent. Documents drafted and distributed.  </w:t>
      </w:r>
    </w:p>
    <w:p>
      <w:pPr>
        <w:pStyle w:val="Body"/>
        <w:ind w:hanging="1443" w:start="2160" w:end="0"/>
        <w:jc w:val="both"/>
        <w:rPr/>
      </w:pPr>
      <w:r>
        <w:rPr/>
      </w:r>
    </w:p>
    <w:p>
      <w:pPr>
        <w:pStyle w:val="Body"/>
        <w:ind w:hanging="1443" w:start="2160" w:end="0"/>
        <w:jc w:val="both"/>
        <w:rPr/>
      </w:pPr>
      <w:r>
        <w:rPr/>
        <w:tab/>
        <w:t xml:space="preserve">Mid-Texas/Looper – Prudential has an open issue with the level of cross-default (they want $50 MM, we have standard provision for $100MM).  Hancock is 98% commercially agreed – now exchanging comments. </w:t>
      </w:r>
    </w:p>
    <w:p>
      <w:pPr>
        <w:pStyle w:val="Body"/>
        <w:ind w:hanging="1443" w:start="2160" w:end="0"/>
        <w:jc w:val="both"/>
        <w:rPr/>
      </w:pPr>
      <w:r>
        <w:rPr/>
      </w:r>
    </w:p>
    <w:p>
      <w:pPr>
        <w:pStyle w:val="Body"/>
        <w:ind w:hanging="1443" w:start="2160" w:end="0"/>
        <w:jc w:val="both"/>
        <w:rPr/>
      </w:pPr>
      <w:r>
        <w:rPr/>
        <w:tab/>
        <w:t>Rock – Final documents approved by banks. Documents sent to Hanover Compressor Company.</w:t>
      </w:r>
    </w:p>
    <w:p>
      <w:pPr>
        <w:pStyle w:val="Body"/>
        <w:ind w:hanging="1443" w:start="2160" w:end="0"/>
        <w:jc w:val="both"/>
        <w:rPr/>
      </w:pPr>
      <w:r>
        <w:rPr/>
      </w:r>
    </w:p>
    <w:p>
      <w:pPr>
        <w:pStyle w:val="Body"/>
        <w:ind w:hanging="1443" w:start="2160" w:end="0"/>
        <w:jc w:val="both"/>
        <w:rPr/>
      </w:pPr>
      <w:r>
        <w:rPr/>
        <w:t>Actions:</w:t>
        <w:tab/>
        <w:t>R. Dutt/BGlissen/T. Despain to follow up with Bank of Australia and Summitomo.  B. Redmond to push for Hanover Compression Company to respond to Rock unwind documents.</w:t>
      </w:r>
    </w:p>
    <w:p>
      <w:pPr>
        <w:pStyle w:val="Body"/>
        <w:ind w:hanging="720" w:start="720" w:end="0"/>
        <w:jc w:val="both"/>
        <w:rPr/>
      </w:pPr>
      <w:r>
        <w:rPr/>
      </w:r>
    </w:p>
    <w:p>
      <w:pPr>
        <w:pStyle w:val="Body"/>
        <w:ind w:hanging="720" w:start="720" w:end="0"/>
        <w:jc w:val="both"/>
        <w:rPr/>
      </w:pPr>
      <w:r>
        <w:rPr/>
      </w:r>
    </w:p>
    <w:p>
      <w:pPr>
        <w:pStyle w:val="Body"/>
        <w:ind w:hanging="720" w:start="720" w:end="0"/>
        <w:jc w:val="both"/>
        <w:rPr>
          <w:b/>
          <w:bCs/>
        </w:rPr>
      </w:pPr>
      <w:r>
        <w:rPr>
          <w:b/>
          <w:bCs/>
        </w:rPr>
        <w:t>16.</w:t>
        <w:tab/>
        <w:t>Revise P&amp;SA Schedules (S. Braband):  Underway.</w:t>
      </w:r>
    </w:p>
    <w:p>
      <w:pPr>
        <w:pStyle w:val="Body"/>
        <w:ind w:hanging="1443" w:start="2160" w:end="0"/>
        <w:jc w:val="both"/>
        <w:rPr/>
      </w:pPr>
      <w:r>
        <w:rPr/>
        <w:tab/>
      </w:r>
    </w:p>
    <w:p>
      <w:pPr>
        <w:pStyle w:val="Body"/>
        <w:ind w:hanging="1443" w:start="2160" w:end="0"/>
        <w:jc w:val="both"/>
        <w:rPr/>
      </w:pPr>
      <w:r>
        <w:rPr/>
        <w:t>Status:</w:t>
        <w:tab/>
        <w:t>Revised schedule to be delivered to AEP by 15 May.  AEP will have 10 business days to comment on revisions to schedules.  Any material changes that occurred after the execution date may lead to an adjustment in the purchase price.</w:t>
      </w:r>
    </w:p>
    <w:p>
      <w:pPr>
        <w:pStyle w:val="Body"/>
        <w:ind w:hanging="1443" w:start="2160" w:end="0"/>
        <w:jc w:val="both"/>
        <w:rPr/>
      </w:pPr>
      <w:r>
        <w:rPr/>
      </w:r>
    </w:p>
    <w:p>
      <w:pPr>
        <w:pStyle w:val="Body"/>
        <w:ind w:hanging="1443" w:start="2160" w:end="0"/>
        <w:jc w:val="both"/>
        <w:rPr/>
      </w:pPr>
      <w:r>
        <w:rPr/>
        <w:t>Actions:</w:t>
        <w:tab/>
        <w:t>AEP/Enron to meet this week to review and discuss revised schedules.</w:t>
      </w:r>
    </w:p>
    <w:p>
      <w:pPr>
        <w:pStyle w:val="Body"/>
        <w:rPr>
          <w:b/>
        </w:rPr>
      </w:pPr>
      <w:r>
        <w:rPr>
          <w:b/>
        </w:rPr>
      </w:r>
    </w:p>
    <w:p>
      <w:pPr>
        <w:pStyle w:val="CopyList"/>
        <w:rPr>
          <w:b/>
        </w:rPr>
      </w:pPr>
      <w:r>
        <w:rPr>
          <w:b/>
        </w:rPr>
      </w:r>
    </w:p>
    <w:p>
      <w:pPr>
        <w:pStyle w:val="CopyList"/>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780" w:leader="none"/>
        <w:tab w:val="left" w:pos="4770" w:leader="none"/>
        <w:tab w:val="left" w:pos="765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17"/>
        </w:tabs>
        <w:ind w:start="717" w:hanging="645"/>
      </w:pPr>
      <w:rPr/>
    </w:lvl>
    <w:lvl w:ilvl="1">
      <w:start w:val="1"/>
      <w:numFmt w:val="lowerLetter"/>
      <w:lvlText w:val="%2."/>
      <w:lvlJc w:val="start"/>
      <w:pPr>
        <w:tabs>
          <w:tab w:val="num" w:pos="1152"/>
        </w:tabs>
        <w:ind w:start="1152" w:hanging="360"/>
      </w:p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abstractNum w:abstractNumId="3">
    <w:lvl w:ilvl="0">
      <w:start w:val="4"/>
      <w:numFmt w:val="decimal"/>
      <w:lvlText w:val="%1."/>
      <w:lvlJc w:val="start"/>
      <w:pPr>
        <w:tabs>
          <w:tab w:val="num" w:pos="717"/>
        </w:tabs>
        <w:ind w:start="717" w:hanging="645"/>
      </w:pPr>
      <w:rPr/>
    </w:lvl>
    <w:lvl w:ilvl="1">
      <w:start w:val="1"/>
      <w:numFmt w:val="lowerLetter"/>
      <w:lvlText w:val="%2."/>
      <w:lvlJc w:val="start"/>
      <w:pPr>
        <w:tabs>
          <w:tab w:val="num" w:pos="1152"/>
        </w:tabs>
        <w:ind w:start="1152" w:hanging="360"/>
      </w:p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417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2001-05-14T22:02:00Z</dcterms:created>
  <dc:creator>bredmon</dc:creator>
  <dc:description/>
  <dc:language>en-CA</dc:language>
  <cp:lastModifiedBy>bredmon</cp:lastModifiedBy>
  <cp:lastPrinted>2001-05-15T13:48:00Z</cp:lastPrinted>
  <dcterms:modified xsi:type="dcterms:W3CDTF">2001-05-15T21:26:00Z</dcterms:modified>
  <cp:revision>4</cp:revision>
  <dc:subject/>
  <dc:title>Better, Faster, Simpler Memo </dc:title>
</cp:coreProperties>
</file>