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Distribution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Brian Redmond</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HPL</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Transition Items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April 10, 2001</w:t>
            </w:r>
          </w:p>
        </w:tc>
      </w:tr>
    </w:tbl>
    <w:p>
      <w:pPr>
        <w:pStyle w:val="Body"/>
        <w:rPr/>
      </w:pPr>
      <w:r>
        <w:rPr/>
      </w:r>
      <w:bookmarkStart w:id="1" w:name="StartOfMemo"/>
      <w:bookmarkStart w:id="2" w:name="StartOfMemo"/>
      <w:bookmarkEnd w:id="2"/>
    </w:p>
    <w:p>
      <w:pPr>
        <w:pStyle w:val="Body"/>
        <w:rPr>
          <w:b/>
        </w:rPr>
      </w:pPr>
      <w:r>
        <w:rPr>
          <w:b/>
        </w:rPr>
        <w:t>The following provides an update as to the critical path items to Close the HPL transaction.  Current plan is to Close on 1 June 2001.</w:t>
      </w:r>
    </w:p>
    <w:p>
      <w:pPr>
        <w:pStyle w:val="Body"/>
        <w:rPr>
          <w:b/>
        </w:rPr>
      </w:pPr>
      <w:r>
        <w:rPr>
          <w:b/>
        </w:rPr>
      </w:r>
    </w:p>
    <w:p>
      <w:pPr>
        <w:pStyle w:val="Body"/>
        <w:numPr>
          <w:ilvl w:val="0"/>
          <w:numId w:val="3"/>
        </w:numPr>
        <w:rPr>
          <w:b/>
        </w:rPr>
      </w:pPr>
      <w:r>
        <w:rPr>
          <w:b/>
        </w:rPr>
        <w:t>Hart Scott Rodino:  (R. Shapiro, M. Haedicke, B. Gray, A. Ballard):  Awaiting DoJ decision.</w:t>
      </w:r>
    </w:p>
    <w:p>
      <w:pPr>
        <w:pStyle w:val="Body"/>
        <w:rPr>
          <w:b/>
        </w:rPr>
      </w:pPr>
      <w:r>
        <w:rPr>
          <w:b/>
        </w:rPr>
      </w:r>
    </w:p>
    <w:p>
      <w:pPr>
        <w:pStyle w:val="Body"/>
        <w:ind w:hanging="1443" w:start="2160" w:end="0"/>
        <w:jc w:val="both"/>
        <w:rPr/>
      </w:pPr>
      <w:r>
        <w:rPr/>
        <w:t>Status:</w:t>
        <w:tab/>
        <w:t>We understand that we are in substantial compliance with the DoJ’s second request (DoJ doesn’t tell you that you are in compliance, only that you are not). Decision expected by end of April. L. Leibman (DC office) had lunch with DoJ with no negative feedback on the status of our application.</w:t>
      </w:r>
    </w:p>
    <w:p>
      <w:pPr>
        <w:pStyle w:val="Body"/>
        <w:ind w:hanging="1443" w:start="2160" w:end="0"/>
        <w:jc w:val="both"/>
        <w:rPr/>
      </w:pPr>
      <w:r>
        <w:rPr/>
      </w:r>
    </w:p>
    <w:p>
      <w:pPr>
        <w:pStyle w:val="Body"/>
        <w:ind w:hanging="1443" w:start="2160" w:end="0"/>
        <w:jc w:val="both"/>
        <w:rPr/>
      </w:pPr>
      <w:r>
        <w:rPr/>
        <w:t>Actions:</w:t>
        <w:tab/>
        <w:t xml:space="preserve">(A. Ballard, L. Leibman, B. Gray) Enron/AEP to make a presentation to DoJ on Thursday regarding the Corpus Christi area where HPL has pipelines and AEP has generation assets.  </w:t>
      </w:r>
    </w:p>
    <w:p>
      <w:pPr>
        <w:pStyle w:val="Body"/>
        <w:ind w:hanging="723" w:start="1440" w:end="0"/>
        <w:rPr>
          <w:rFonts w:eastAsia="Arial"/>
        </w:rPr>
      </w:pPr>
      <w:r>
        <w:rPr>
          <w:rFonts w:eastAsia="Arial"/>
        </w:rPr>
        <w:t xml:space="preserve">     </w:t>
      </w:r>
    </w:p>
    <w:p>
      <w:pPr>
        <w:pStyle w:val="Body"/>
        <w:ind w:hanging="723" w:start="1440" w:end="0"/>
        <w:rPr>
          <w:b/>
        </w:rPr>
      </w:pPr>
      <w:r>
        <w:rPr>
          <w:b/>
        </w:rPr>
      </w:r>
    </w:p>
    <w:p>
      <w:pPr>
        <w:pStyle w:val="Body"/>
        <w:ind w:hanging="648" w:start="720" w:end="0"/>
        <w:rPr>
          <w:b/>
        </w:rPr>
      </w:pPr>
      <w:r>
        <w:rPr>
          <w:b/>
        </w:rPr>
        <w:t>2.</w:t>
        <w:tab/>
        <w:t>A/S Line Repair:  (S. Schneider, K. Kaase):  Smart pigging now underway.</w:t>
      </w:r>
    </w:p>
    <w:p>
      <w:pPr>
        <w:pStyle w:val="Body"/>
        <w:rPr>
          <w:b/>
        </w:rPr>
      </w:pPr>
      <w:r>
        <w:rPr>
          <w:b/>
        </w:rPr>
      </w:r>
    </w:p>
    <w:p>
      <w:pPr>
        <w:pStyle w:val="Body"/>
        <w:ind w:hanging="1443" w:start="2160" w:end="0"/>
        <w:jc w:val="both"/>
        <w:rPr/>
      </w:pPr>
      <w:r>
        <w:rPr/>
        <w:t>Status:</w:t>
        <w:tab/>
        <w:t xml:space="preserve">The Phase I smart pig run identified 4 areas where pitting had occurred.  The smart pig will be re-run to verify data and if problems are found then X-ray inspection/repair will be conducted immediately.  The Phase II smart pig will be delayed to complete Phase I work.  The submission of the final reports will slip from early May to mid-May. </w:t>
      </w:r>
    </w:p>
    <w:p>
      <w:pPr>
        <w:pStyle w:val="Body"/>
        <w:ind w:hanging="1443" w:start="2160" w:end="0"/>
        <w:jc w:val="both"/>
        <w:rPr/>
      </w:pPr>
      <w:r>
        <w:rPr/>
      </w:r>
    </w:p>
    <w:p>
      <w:pPr>
        <w:pStyle w:val="Body"/>
        <w:ind w:hanging="1443" w:start="2160" w:end="0"/>
        <w:jc w:val="both"/>
        <w:rPr>
          <w:b/>
        </w:rPr>
      </w:pPr>
      <w:r>
        <w:rPr/>
        <w:t>Actions:</w:t>
        <w:tab/>
        <w:t>(B. Redmond) Once test results are known, discuss risk-sharing arrangement with AEP to allow transaction to Close before all repairs are completed.</w:t>
      </w:r>
    </w:p>
    <w:p>
      <w:pPr>
        <w:pStyle w:val="Body"/>
        <w:rPr>
          <w:b/>
        </w:rPr>
      </w:pPr>
      <w:r>
        <w:rPr>
          <w:b/>
        </w:rPr>
      </w:r>
    </w:p>
    <w:p>
      <w:pPr>
        <w:pStyle w:val="Body"/>
        <w:rPr>
          <w:b/>
        </w:rPr>
      </w:pPr>
      <w:r>
        <w:rPr>
          <w:b/>
        </w:rPr>
      </w:r>
    </w:p>
    <w:p>
      <w:pPr>
        <w:pStyle w:val="Body"/>
        <w:ind w:hanging="630" w:start="720" w:end="0"/>
        <w:rPr/>
      </w:pPr>
      <w:r>
        <w:rPr>
          <w:b/>
        </w:rPr>
        <w:t>3.</w:t>
        <w:tab/>
        <w:t>IT Systems (P. Bibi, T. Yanowski): HPL people and systems will be operational by 5 May.</w:t>
      </w:r>
      <w:r>
        <w:rPr/>
        <w:tab/>
        <w:tab/>
        <w:tab/>
        <w:tab/>
        <w:tab/>
        <w:tab/>
      </w:r>
    </w:p>
    <w:p>
      <w:pPr>
        <w:pStyle w:val="Body"/>
        <w:ind w:hanging="1443" w:start="2160" w:end="0"/>
        <w:jc w:val="both"/>
        <w:rPr/>
      </w:pPr>
      <w:r>
        <w:rPr/>
        <w:t>Status:</w:t>
        <w:tab/>
        <w:t>AEP/Enron will conduct system tests next week.  The successful completion of these tests will satisfy our obligations under the IT Services Agreement.  AEP expected to have their data center complete by 1 June.</w:t>
      </w:r>
    </w:p>
    <w:p>
      <w:pPr>
        <w:pStyle w:val="Body"/>
        <w:ind w:hanging="1443" w:start="2160" w:end="0"/>
        <w:jc w:val="both"/>
        <w:rPr>
          <w:rFonts w:eastAsia="Arial"/>
        </w:rPr>
      </w:pPr>
      <w:r>
        <w:rPr>
          <w:rFonts w:eastAsia="Arial"/>
        </w:rPr>
        <w:t xml:space="preserve"> </w:t>
      </w:r>
    </w:p>
    <w:p>
      <w:pPr>
        <w:pStyle w:val="Body"/>
        <w:ind w:hanging="1443" w:start="2160" w:end="0"/>
        <w:jc w:val="both"/>
        <w:rPr/>
      </w:pPr>
      <w:r>
        <w:rPr/>
        <w:t>Actions:</w:t>
        <w:tab/>
        <w:t>Enron (T. Yanowski) to meet with AEP this week to discuss IT Protocol.  B. Gray to augment IT Protocol to cover arrangements for giving AEP temporary use of Enron floor space (15</w:t>
      </w:r>
      <w:r>
        <w:rPr>
          <w:vertAlign w:val="superscript"/>
        </w:rPr>
        <w:t>th</w:t>
      </w:r>
      <w:r>
        <w:rPr/>
        <w:t xml:space="preserve"> floor at 1201 Louisiana). </w:t>
      </w:r>
    </w:p>
    <w:p>
      <w:pPr>
        <w:pStyle w:val="Body"/>
        <w:rPr>
          <w:b/>
        </w:rPr>
      </w:pPr>
      <w:r>
        <w:rPr>
          <w:b/>
        </w:rPr>
      </w:r>
    </w:p>
    <w:p>
      <w:pPr>
        <w:pStyle w:val="Body"/>
        <w:rPr>
          <w:b/>
        </w:rPr>
      </w:pPr>
      <w:r>
        <w:rPr>
          <w:b/>
        </w:rPr>
      </w:r>
    </w:p>
    <w:p>
      <w:pPr>
        <w:pStyle w:val="Body"/>
        <w:numPr>
          <w:ilvl w:val="0"/>
          <w:numId w:val="2"/>
        </w:numPr>
        <w:rPr/>
      </w:pPr>
      <w:r>
        <w:rPr>
          <w:rFonts w:eastAsia="Arial"/>
          <w:b/>
        </w:rPr>
        <w:t xml:space="preserve">  </w:t>
      </w:r>
      <w:r>
        <w:rPr>
          <w:b/>
        </w:rPr>
        <w:t xml:space="preserve">Treatment of HPL bank accounts after Closing (M. Perkins, A. Koehler):  AEP response requested </w:t>
      </w:r>
    </w:p>
    <w:p>
      <w:pPr>
        <w:pStyle w:val="Body"/>
        <w:ind w:hanging="1443" w:start="2160" w:end="0"/>
        <w:jc w:val="both"/>
        <w:rPr/>
      </w:pPr>
      <w:r>
        <w:rPr/>
      </w:r>
    </w:p>
    <w:p>
      <w:pPr>
        <w:pStyle w:val="Body"/>
        <w:ind w:hanging="1443" w:start="2160" w:end="0"/>
        <w:jc w:val="both"/>
        <w:rPr/>
      </w:pPr>
      <w:r>
        <w:rPr/>
        <w:t>Status:</w:t>
        <w:tab/>
        <w:t>AEP has minor comments on the amendment to the PSA that we sent to them last week.</w:t>
      </w:r>
    </w:p>
    <w:p>
      <w:pPr>
        <w:pStyle w:val="Body"/>
        <w:ind w:hanging="1443" w:start="2160" w:end="0"/>
        <w:jc w:val="both"/>
        <w:rPr/>
      </w:pPr>
      <w:r>
        <w:rPr/>
      </w:r>
    </w:p>
    <w:p>
      <w:pPr>
        <w:pStyle w:val="Body"/>
        <w:ind w:hanging="1443" w:start="2160" w:end="0"/>
        <w:jc w:val="both"/>
        <w:rPr/>
      </w:pPr>
      <w:r>
        <w:rPr/>
        <w:t>Actions:</w:t>
        <w:tab/>
        <w:t>Enron (M. Perkins) to contact AEP to get them to respond this week.</w:t>
      </w:r>
    </w:p>
    <w:p>
      <w:pPr>
        <w:pStyle w:val="Body"/>
        <w:ind w:hanging="1443" w:start="2160" w:end="0"/>
        <w:jc w:val="both"/>
        <w:rPr>
          <w:b/>
        </w:rPr>
      </w:pPr>
      <w:r>
        <w:rPr>
          <w:rFonts w:eastAsia="Arial"/>
        </w:rPr>
        <w:t xml:space="preserve">  </w:t>
      </w:r>
    </w:p>
    <w:p>
      <w:pPr>
        <w:pStyle w:val="Body"/>
        <w:rPr>
          <w:b/>
        </w:rPr>
      </w:pPr>
      <w:r>
        <w:rPr>
          <w:b/>
        </w:rPr>
      </w:r>
    </w:p>
    <w:p>
      <w:pPr>
        <w:pStyle w:val="Body"/>
        <w:numPr>
          <w:ilvl w:val="0"/>
          <w:numId w:val="2"/>
        </w:numPr>
        <w:rPr/>
      </w:pPr>
      <w:r>
        <w:rPr>
          <w:rFonts w:eastAsia="Arial"/>
          <w:b/>
        </w:rPr>
        <w:t xml:space="preserve">  </w:t>
      </w:r>
      <w:r>
        <w:rPr>
          <w:b/>
        </w:rPr>
        <w:t>Treatment of Swaps for Fixed Price Deals (T. Rohauer/C. St. Claire):  AEP response requested</w:t>
      </w:r>
    </w:p>
    <w:p>
      <w:pPr>
        <w:pStyle w:val="Body"/>
        <w:ind w:hanging="1443" w:start="2160" w:end="0"/>
        <w:jc w:val="both"/>
        <w:rPr/>
      </w:pPr>
      <w:r>
        <w:rPr/>
      </w:r>
    </w:p>
    <w:p>
      <w:pPr>
        <w:pStyle w:val="Body"/>
        <w:ind w:hanging="1443" w:start="2160" w:end="0"/>
        <w:jc w:val="both"/>
        <w:rPr/>
      </w:pPr>
      <w:r>
        <w:rPr/>
        <w:t>Status:</w:t>
        <w:tab/>
        <w:t>Revised “Form of Confirms” sent to AEP for review and approval.</w:t>
      </w:r>
    </w:p>
    <w:p>
      <w:pPr>
        <w:pStyle w:val="Body"/>
        <w:ind w:hanging="1443" w:start="2160" w:end="0"/>
        <w:jc w:val="both"/>
        <w:rPr/>
      </w:pPr>
      <w:r>
        <w:rPr/>
      </w:r>
    </w:p>
    <w:p>
      <w:pPr>
        <w:pStyle w:val="Body"/>
        <w:ind w:hanging="1443" w:start="2160" w:end="0"/>
        <w:jc w:val="both"/>
        <w:rPr/>
      </w:pPr>
      <w:r>
        <w:rPr/>
        <w:t>Actions:</w:t>
        <w:tab/>
        <w:t>Enron (T. Rohauer) to follow up with AEP for agreement confirmation.</w:t>
      </w:r>
    </w:p>
    <w:p>
      <w:pPr>
        <w:pStyle w:val="Body"/>
        <w:rPr>
          <w:b/>
        </w:rPr>
      </w:pPr>
      <w:r>
        <w:rPr>
          <w:b/>
        </w:rPr>
      </w:r>
    </w:p>
    <w:p>
      <w:pPr>
        <w:pStyle w:val="Body"/>
        <w:rPr>
          <w:b/>
        </w:rPr>
      </w:pPr>
      <w:r>
        <w:rPr>
          <w:b/>
        </w:rPr>
      </w:r>
    </w:p>
    <w:p>
      <w:pPr>
        <w:pStyle w:val="Body"/>
        <w:numPr>
          <w:ilvl w:val="0"/>
          <w:numId w:val="2"/>
        </w:numPr>
        <w:rPr/>
      </w:pPr>
      <w:r>
        <w:rPr>
          <w:b/>
        </w:rPr>
        <w:t>PP&amp;E Items:  Definition of Houston vs. Non-Houston Assets (W. Colwell, J. Coffey):</w:t>
      </w:r>
    </w:p>
    <w:p>
      <w:pPr>
        <w:pStyle w:val="Body"/>
        <w:ind w:hanging="1443" w:start="2160" w:end="0"/>
        <w:jc w:val="both"/>
        <w:rPr/>
      </w:pPr>
      <w:r>
        <w:rPr/>
      </w:r>
    </w:p>
    <w:p>
      <w:pPr>
        <w:pStyle w:val="Body"/>
        <w:ind w:hanging="1443" w:start="2160" w:end="0"/>
        <w:jc w:val="both"/>
        <w:rPr/>
      </w:pPr>
      <w:r>
        <w:rPr/>
        <w:t>Status:</w:t>
        <w:tab/>
        <w:t>Protocol sent to AEP covering designation of Houston and Non-Houston assets.  List of Houston, Non-Houston assets completed.</w:t>
      </w:r>
    </w:p>
    <w:p>
      <w:pPr>
        <w:pStyle w:val="Body"/>
        <w:ind w:hanging="1443" w:start="2160" w:end="0"/>
        <w:jc w:val="both"/>
        <w:rPr/>
      </w:pPr>
      <w:r>
        <w:rPr/>
      </w:r>
    </w:p>
    <w:p>
      <w:pPr>
        <w:pStyle w:val="Body"/>
        <w:ind w:hanging="1443" w:start="2160" w:end="0"/>
        <w:jc w:val="both"/>
        <w:rPr/>
      </w:pPr>
      <w:r>
        <w:rPr/>
        <w:t>Actions:</w:t>
        <w:tab/>
        <w:t>AEP to review and respond.  Meeting on 17</w:t>
      </w:r>
      <w:r>
        <w:rPr>
          <w:vertAlign w:val="superscript"/>
        </w:rPr>
        <w:t>th</w:t>
      </w:r>
      <w:r>
        <w:rPr/>
        <w:t xml:space="preserve"> with AEP to discuss balance sheet items and response to protocol.</w:t>
      </w:r>
    </w:p>
    <w:p>
      <w:pPr>
        <w:pStyle w:val="Body"/>
        <w:ind w:start="0" w:end="0"/>
        <w:rPr>
          <w:b/>
        </w:rPr>
      </w:pPr>
      <w:r>
        <w:rPr>
          <w:b/>
        </w:rPr>
      </w:r>
    </w:p>
    <w:p>
      <w:pPr>
        <w:pStyle w:val="Body"/>
        <w:rPr>
          <w:b/>
        </w:rPr>
      </w:pPr>
      <w:r>
        <w:rPr>
          <w:b/>
        </w:rPr>
      </w:r>
    </w:p>
    <w:p>
      <w:pPr>
        <w:pStyle w:val="Body"/>
        <w:numPr>
          <w:ilvl w:val="0"/>
          <w:numId w:val="2"/>
        </w:numPr>
        <w:rPr/>
      </w:pPr>
      <w:r>
        <w:rPr>
          <w:b/>
        </w:rPr>
        <w:t>Definition and Treatment of open A/R and CWIP (W. Colwell, J. Coffey):</w:t>
      </w:r>
    </w:p>
    <w:p>
      <w:pPr>
        <w:pStyle w:val="Body"/>
        <w:ind w:hanging="1443" w:start="2160" w:end="0"/>
        <w:jc w:val="both"/>
        <w:rPr/>
      </w:pPr>
      <w:r>
        <w:rPr/>
      </w:r>
    </w:p>
    <w:p>
      <w:pPr>
        <w:pStyle w:val="Body"/>
        <w:ind w:hanging="1443" w:start="2160" w:end="0"/>
        <w:jc w:val="both"/>
        <w:rPr/>
      </w:pPr>
      <w:r>
        <w:rPr/>
        <w:t>Status:</w:t>
        <w:tab/>
        <w:t>AEP is unwilling to provide additional compensation for Spinnaker and A/S line capital contributions.  AEP is willing to shift value between the purchase price and the lease payment.</w:t>
      </w:r>
    </w:p>
    <w:p>
      <w:pPr>
        <w:pStyle w:val="Body"/>
        <w:ind w:hanging="1443" w:start="2160" w:end="0"/>
        <w:jc w:val="both"/>
        <w:rPr/>
      </w:pPr>
      <w:r>
        <w:rPr/>
      </w:r>
    </w:p>
    <w:p>
      <w:pPr>
        <w:pStyle w:val="Body"/>
        <w:ind w:hanging="1443" w:start="2160" w:end="0"/>
        <w:jc w:val="both"/>
        <w:rPr/>
      </w:pPr>
      <w:r>
        <w:rPr/>
        <w:t>Actions:</w:t>
        <w:tab/>
        <w:t>ENA (J. Coffey) to propose reduction in lease payment and increase in purchase price to cover additional capital investment (7/00 to 6/01) and still meet the FAS 121 test.</w:t>
      </w:r>
    </w:p>
    <w:p>
      <w:pPr>
        <w:pStyle w:val="Body"/>
        <w:ind w:start="0" w:end="0"/>
        <w:rPr>
          <w:b/>
        </w:rPr>
      </w:pPr>
      <w:r>
        <w:rPr>
          <w:b/>
        </w:rPr>
      </w:r>
    </w:p>
    <w:p>
      <w:pPr>
        <w:pStyle w:val="Body"/>
        <w:ind w:start="0" w:end="0"/>
        <w:rPr>
          <w:b/>
        </w:rPr>
      </w:pPr>
      <w:r>
        <w:rPr>
          <w:b/>
        </w:rPr>
      </w:r>
    </w:p>
    <w:p>
      <w:pPr>
        <w:pStyle w:val="Body"/>
        <w:numPr>
          <w:ilvl w:val="0"/>
          <w:numId w:val="2"/>
        </w:numPr>
        <w:rPr>
          <w:b/>
        </w:rPr>
      </w:pPr>
      <w:r>
        <w:rPr>
          <w:b/>
        </w:rPr>
        <w:t>HR Issues (D. Oxley, F. Mayes): Finalize list of employees transferring to AEP.</w:t>
      </w:r>
    </w:p>
    <w:p>
      <w:pPr>
        <w:pStyle w:val="Body"/>
        <w:ind w:start="0" w:end="0"/>
        <w:rPr>
          <w:b/>
        </w:rPr>
      </w:pPr>
      <w:r>
        <w:rPr>
          <w:b/>
        </w:rPr>
      </w:r>
    </w:p>
    <w:p>
      <w:pPr>
        <w:pStyle w:val="Body"/>
        <w:ind w:hanging="1443" w:start="2160" w:end="0"/>
        <w:jc w:val="both"/>
        <w:rPr/>
      </w:pPr>
      <w:r>
        <w:rPr/>
        <w:t>Status:</w:t>
        <w:tab/>
        <w:t xml:space="preserve">Four employee decisions still pending.  Letters received from AEP on two individuals who will receive severance packages from AEP.  </w:t>
      </w:r>
    </w:p>
    <w:p>
      <w:pPr>
        <w:pStyle w:val="Body"/>
        <w:ind w:hanging="1443" w:start="2160" w:end="0"/>
        <w:jc w:val="both"/>
        <w:rPr/>
      </w:pPr>
      <w:r>
        <w:rPr/>
      </w:r>
    </w:p>
    <w:p>
      <w:pPr>
        <w:pStyle w:val="Body"/>
        <w:ind w:hanging="1443" w:start="2160" w:end="0"/>
        <w:jc w:val="both"/>
        <w:rPr/>
      </w:pPr>
      <w:r>
        <w:rPr/>
        <w:t>Actions:</w:t>
        <w:tab/>
        <w:t xml:space="preserve">ENA (F. Mayes) to continue to coordinate on the transfer of employees and payroll processing at Close. </w:t>
      </w:r>
    </w:p>
    <w:p>
      <w:pPr>
        <w:pStyle w:val="Body"/>
        <w:ind w:start="0" w:end="0"/>
        <w:rPr/>
      </w:pPr>
      <w:r>
        <w:rPr/>
      </w:r>
    </w:p>
    <w:p>
      <w:pPr>
        <w:pStyle w:val="Body"/>
        <w:ind w:start="0" w:end="0"/>
        <w:rPr>
          <w:b/>
        </w:rPr>
      </w:pPr>
      <w:r>
        <w:rPr>
          <w:b/>
        </w:rPr>
      </w:r>
    </w:p>
    <w:p>
      <w:pPr>
        <w:pStyle w:val="Body"/>
        <w:numPr>
          <w:ilvl w:val="0"/>
          <w:numId w:val="2"/>
        </w:numPr>
        <w:rPr>
          <w:b/>
        </w:rPr>
      </w:pPr>
      <w:r>
        <w:rPr>
          <w:b/>
        </w:rPr>
        <w:t xml:space="preserve">Replacement of Enron Guarantees (M. Perkins, A. Koehler):  Send transfer letters to counter-parties. </w:t>
      </w:r>
    </w:p>
    <w:p>
      <w:pPr>
        <w:pStyle w:val="Body"/>
        <w:ind w:start="0" w:end="0"/>
        <w:rPr>
          <w:b/>
        </w:rPr>
      </w:pPr>
      <w:r>
        <w:rPr>
          <w:b/>
        </w:rPr>
      </w:r>
    </w:p>
    <w:p>
      <w:pPr>
        <w:pStyle w:val="Body"/>
        <w:ind w:hanging="1443" w:start="2160" w:end="0"/>
        <w:jc w:val="both"/>
        <w:rPr/>
      </w:pPr>
      <w:r>
        <w:rPr/>
        <w:t>Status:</w:t>
        <w:tab/>
        <w:t>Guarantees and form of release of letter sent to AEP for review/approval.</w:t>
      </w:r>
    </w:p>
    <w:p>
      <w:pPr>
        <w:pStyle w:val="Body"/>
        <w:ind w:hanging="1443" w:start="2160" w:end="0"/>
        <w:jc w:val="both"/>
        <w:rPr/>
      </w:pPr>
      <w:r>
        <w:rPr/>
      </w:r>
    </w:p>
    <w:p>
      <w:pPr>
        <w:pStyle w:val="Body"/>
        <w:ind w:hanging="1443" w:start="2160" w:end="0"/>
        <w:jc w:val="both"/>
        <w:rPr/>
      </w:pPr>
      <w:r>
        <w:rPr/>
        <w:t>Actions:</w:t>
        <w:tab/>
        <w:t>(M. Perkins) to follow up with AEP this week.</w:t>
      </w:r>
    </w:p>
    <w:p>
      <w:pPr>
        <w:pStyle w:val="Body"/>
        <w:ind w:hanging="1443" w:start="2160" w:end="0"/>
        <w:jc w:val="both"/>
        <w:rPr/>
      </w:pPr>
      <w:r>
        <w:rPr/>
      </w:r>
    </w:p>
    <w:p>
      <w:pPr>
        <w:pStyle w:val="Body"/>
        <w:ind w:hanging="1443" w:start="2160" w:end="0"/>
        <w:jc w:val="both"/>
        <w:rPr>
          <w:b/>
        </w:rPr>
      </w:pPr>
      <w:r>
        <w:rPr>
          <w:b/>
        </w:rPr>
      </w:r>
    </w:p>
    <w:p>
      <w:pPr>
        <w:pStyle w:val="Body"/>
        <w:numPr>
          <w:ilvl w:val="0"/>
          <w:numId w:val="2"/>
        </w:numPr>
        <w:rPr>
          <w:b/>
        </w:rPr>
      </w:pPr>
      <w:r>
        <w:rPr>
          <w:b/>
        </w:rPr>
        <w:t>Business Operations Processes (S. Beck, B. Hall): Need to formally document understanding reached with AEP on back-office functions before, during, and after the Closing Date.</w:t>
      </w:r>
    </w:p>
    <w:p>
      <w:pPr>
        <w:pStyle w:val="Body"/>
        <w:rPr>
          <w:b/>
        </w:rPr>
      </w:pPr>
      <w:r>
        <w:rPr>
          <w:b/>
        </w:rPr>
      </w:r>
    </w:p>
    <w:p>
      <w:pPr>
        <w:pStyle w:val="Body"/>
        <w:ind w:hanging="1443" w:start="2160" w:end="0"/>
        <w:jc w:val="both"/>
        <w:rPr/>
      </w:pPr>
      <w:r>
        <w:rPr/>
        <w:t>Status:</w:t>
        <w:tab/>
        <w:t>Agreement in principal reached with AEP as to processes and procedures prior to and post Close.</w:t>
      </w:r>
    </w:p>
    <w:p>
      <w:pPr>
        <w:pStyle w:val="Body"/>
        <w:ind w:hanging="1443" w:start="2160" w:end="0"/>
        <w:jc w:val="both"/>
        <w:rPr/>
      </w:pPr>
      <w:r>
        <w:rPr/>
      </w:r>
    </w:p>
    <w:p>
      <w:pPr>
        <w:pStyle w:val="Body"/>
        <w:ind w:hanging="1443" w:start="2160" w:end="0"/>
        <w:jc w:val="both"/>
        <w:rPr>
          <w:b/>
        </w:rPr>
      </w:pPr>
      <w:r>
        <w:rPr/>
        <w:t>Actions:</w:t>
        <w:tab/>
        <w:t>ENA (B. Hall) to submit document to AEP setting forth verbal understanding in writing.</w:t>
      </w:r>
    </w:p>
    <w:p>
      <w:pPr>
        <w:pStyle w:val="Body"/>
        <w:rPr>
          <w:b/>
        </w:rPr>
      </w:pPr>
      <w:r>
        <w:rPr>
          <w:b/>
        </w:rPr>
      </w:r>
    </w:p>
    <w:p>
      <w:pPr>
        <w:pStyle w:val="Body"/>
        <w:rPr>
          <w:b/>
        </w:rPr>
      </w:pPr>
      <w:r>
        <w:rPr>
          <w:b/>
        </w:rPr>
      </w:r>
    </w:p>
    <w:p>
      <w:pPr>
        <w:pStyle w:val="Body"/>
        <w:numPr>
          <w:ilvl w:val="0"/>
          <w:numId w:val="2"/>
        </w:numPr>
        <w:rPr>
          <w:b/>
        </w:rPr>
      </w:pPr>
      <w:r>
        <w:rPr>
          <w:b/>
        </w:rPr>
        <w:t>Imbalances, A/R (T. Martin, E. Gottlob, S. Beck, B. Hall):  Focused effort on resolving prior to Close.</w:t>
      </w:r>
    </w:p>
    <w:p>
      <w:pPr>
        <w:pStyle w:val="Body"/>
        <w:rPr>
          <w:b/>
        </w:rPr>
      </w:pPr>
      <w:r>
        <w:rPr>
          <w:b/>
        </w:rPr>
      </w:r>
    </w:p>
    <w:p>
      <w:pPr>
        <w:pStyle w:val="Body"/>
        <w:ind w:hanging="1443" w:start="2160" w:end="0"/>
        <w:jc w:val="both"/>
        <w:rPr/>
      </w:pPr>
      <w:r>
        <w:rPr/>
        <w:t>Status:</w:t>
        <w:tab/>
        <w:t>Detail list of outstanding imbalances and A/R created.  Need accountability and a detailed action plan to resolve each open account.</w:t>
      </w:r>
    </w:p>
    <w:p>
      <w:pPr>
        <w:pStyle w:val="Body"/>
        <w:ind w:hanging="1443" w:start="2160" w:end="0"/>
        <w:jc w:val="both"/>
        <w:rPr/>
      </w:pPr>
      <w:r>
        <w:rPr/>
      </w:r>
    </w:p>
    <w:p>
      <w:pPr>
        <w:pStyle w:val="Body"/>
        <w:ind w:hanging="1443" w:start="2160" w:end="0"/>
        <w:jc w:val="both"/>
        <w:rPr>
          <w:b/>
        </w:rPr>
      </w:pPr>
      <w:r>
        <w:rPr/>
        <w:t>Actions:</w:t>
        <w:tab/>
        <w:t>Meeting (J. Wallis) Thursday to assign accountability and discuss status/action plans.</w:t>
      </w:r>
    </w:p>
    <w:p>
      <w:pPr>
        <w:pStyle w:val="Body"/>
        <w:ind w:start="0" w:end="0"/>
        <w:rPr>
          <w:b/>
        </w:rPr>
      </w:pPr>
      <w:r>
        <w:rPr>
          <w:b/>
        </w:rPr>
      </w:r>
    </w:p>
    <w:p>
      <w:pPr>
        <w:pStyle w:val="Body"/>
        <w:ind w:start="0" w:end="0"/>
        <w:rPr>
          <w:b/>
        </w:rPr>
      </w:pPr>
      <w:r>
        <w:rPr>
          <w:b/>
        </w:rPr>
      </w:r>
    </w:p>
    <w:p>
      <w:pPr>
        <w:pStyle w:val="Body"/>
        <w:numPr>
          <w:ilvl w:val="0"/>
          <w:numId w:val="2"/>
        </w:numPr>
        <w:rPr>
          <w:b/>
        </w:rPr>
      </w:pPr>
      <w:r>
        <w:rPr>
          <w:b/>
        </w:rPr>
        <w:t xml:space="preserve">Books &amp; Records (C. Gilley, A. Koehler): Collect information to be transferred at Close.  Establish procedures for handling post-closing information. </w:t>
      </w:r>
    </w:p>
    <w:p>
      <w:pPr>
        <w:pStyle w:val="Body"/>
        <w:ind w:start="0" w:end="0"/>
        <w:rPr>
          <w:b/>
        </w:rPr>
      </w:pPr>
      <w:r>
        <w:rPr>
          <w:b/>
        </w:rPr>
      </w:r>
    </w:p>
    <w:p>
      <w:pPr>
        <w:pStyle w:val="Body"/>
        <w:ind w:hanging="1443" w:start="2160" w:end="0"/>
        <w:jc w:val="both"/>
        <w:rPr/>
      </w:pPr>
      <w:r>
        <w:rPr/>
        <w:t>Status:</w:t>
        <w:tab/>
        <w:t>Missing Active Files: litigation files (A. Koehler), environmental studies/plans (A. Koehler), operating data/plans (S. Schneider), computer data files (T. Yanowski/B. Hall), accounting (J. Coffey).  Document retention protocol submitted to AEP for review.</w:t>
      </w:r>
    </w:p>
    <w:p>
      <w:pPr>
        <w:pStyle w:val="Body"/>
        <w:ind w:hanging="1443" w:start="2160" w:end="0"/>
        <w:jc w:val="both"/>
        <w:rPr/>
      </w:pPr>
      <w:r>
        <w:rPr/>
      </w:r>
    </w:p>
    <w:p>
      <w:pPr>
        <w:pStyle w:val="Body"/>
        <w:ind w:start="720" w:end="0"/>
        <w:rPr/>
      </w:pPr>
      <w:r>
        <w:rPr/>
        <w:t>Actions:</w:t>
        <w:tab/>
        <w:tab/>
        <w:t xml:space="preserve">ENA (A. Koehler) focus on finalizing active records. </w:t>
      </w:r>
    </w:p>
    <w:p>
      <w:pPr>
        <w:pStyle w:val="Body"/>
        <w:rPr>
          <w:b/>
        </w:rPr>
      </w:pPr>
      <w:r>
        <w:rPr>
          <w:b/>
        </w:rPr>
      </w:r>
    </w:p>
    <w:p>
      <w:pPr>
        <w:pStyle w:val="Body"/>
        <w:rPr>
          <w:b/>
        </w:rPr>
      </w:pPr>
      <w:r>
        <w:rPr>
          <w:b/>
        </w:rPr>
      </w:r>
    </w:p>
    <w:p>
      <w:pPr>
        <w:pStyle w:val="Body"/>
        <w:numPr>
          <w:ilvl w:val="0"/>
          <w:numId w:val="2"/>
        </w:numPr>
        <w:rPr>
          <w:b/>
        </w:rPr>
      </w:pPr>
      <w:r>
        <w:rPr>
          <w:b/>
        </w:rPr>
        <w:t xml:space="preserve">Updated Schedules (A. Koehler): Update per recent events. </w:t>
      </w:r>
    </w:p>
    <w:p>
      <w:pPr>
        <w:pStyle w:val="Body"/>
        <w:ind w:start="0" w:end="0"/>
        <w:rPr>
          <w:b/>
        </w:rPr>
      </w:pPr>
      <w:r>
        <w:rPr>
          <w:b/>
        </w:rPr>
      </w:r>
    </w:p>
    <w:p>
      <w:pPr>
        <w:pStyle w:val="Body"/>
        <w:ind w:hanging="1443" w:start="2160" w:end="0"/>
        <w:jc w:val="both"/>
        <w:rPr/>
      </w:pPr>
      <w:r>
        <w:rPr/>
        <w:t>Status:</w:t>
        <w:tab/>
        <w:t>Schedules covering material contracts, swaps, guarantees sent AEP for review.  Retained litigation schedule will be sent out next week.</w:t>
      </w:r>
    </w:p>
    <w:p>
      <w:pPr>
        <w:pStyle w:val="Body"/>
        <w:ind w:hanging="1443" w:start="2160" w:end="0"/>
        <w:jc w:val="both"/>
        <w:rPr/>
      </w:pPr>
      <w:r>
        <w:rPr/>
      </w:r>
    </w:p>
    <w:p>
      <w:pPr>
        <w:pStyle w:val="Body"/>
        <w:ind w:hanging="1443" w:start="2160" w:end="0"/>
        <w:jc w:val="both"/>
        <w:rPr/>
      </w:pPr>
      <w:r>
        <w:rPr/>
        <w:t>Actions:</w:t>
        <w:tab/>
        <w:t>Pursue settlement of Coastline suite.</w:t>
      </w:r>
    </w:p>
    <w:p>
      <w:pPr>
        <w:pStyle w:val="Body"/>
        <w:rPr>
          <w:b/>
        </w:rPr>
      </w:pPr>
      <w:r>
        <w:rPr>
          <w:b/>
        </w:rPr>
      </w:r>
    </w:p>
    <w:p>
      <w:pPr>
        <w:pStyle w:val="Body"/>
        <w:rPr>
          <w:b/>
        </w:rPr>
      </w:pPr>
      <w:r>
        <w:rPr>
          <w:b/>
        </w:rPr>
      </w:r>
    </w:p>
    <w:p>
      <w:pPr>
        <w:pStyle w:val="Body"/>
        <w:numPr>
          <w:ilvl w:val="0"/>
          <w:numId w:val="2"/>
        </w:numPr>
        <w:rPr>
          <w:b/>
        </w:rPr>
      </w:pPr>
      <w:r>
        <w:rPr>
          <w:b/>
        </w:rPr>
        <w:t xml:space="preserve">Monetizations (T. Despain, R. Dutt): Finalize deal with Hancock. </w:t>
      </w:r>
    </w:p>
    <w:p>
      <w:pPr>
        <w:pStyle w:val="Body"/>
        <w:ind w:start="0" w:end="0"/>
        <w:rPr>
          <w:b/>
        </w:rPr>
      </w:pPr>
      <w:r>
        <w:rPr>
          <w:b/>
        </w:rPr>
      </w:r>
    </w:p>
    <w:p>
      <w:pPr>
        <w:pStyle w:val="Body"/>
        <w:ind w:hanging="1443" w:start="2160" w:end="0"/>
        <w:jc w:val="both"/>
        <w:rPr/>
      </w:pPr>
      <w:r>
        <w:rPr/>
        <w:t>Status:</w:t>
        <w:tab/>
        <w:t>Agreement reached with Prudential.  Still no agreement reached with Hancock – need to step up our efforts on this.</w:t>
      </w:r>
    </w:p>
    <w:p>
      <w:pPr>
        <w:pStyle w:val="Body"/>
        <w:ind w:hanging="1443" w:start="2160" w:end="0"/>
        <w:jc w:val="both"/>
        <w:rPr/>
      </w:pPr>
      <w:r>
        <w:rPr/>
      </w:r>
    </w:p>
    <w:p>
      <w:pPr>
        <w:pStyle w:val="Body"/>
        <w:ind w:hanging="1443" w:start="2160" w:end="0"/>
        <w:jc w:val="both"/>
        <w:rPr/>
      </w:pPr>
      <w:r>
        <w:rPr/>
        <w:t>Actions:</w:t>
        <w:tab/>
        <w:t>Finalize agreement with Hancock and submit documents to both Prudential and Hancock for execution.</w:t>
      </w:r>
    </w:p>
    <w:p>
      <w:pPr>
        <w:pStyle w:val="CopyList"/>
        <w:rPr/>
      </w:pPr>
      <w:r>
        <w:rPr/>
      </w:r>
    </w:p>
    <w:p>
      <w:pPr>
        <w:pStyle w:val="CopyList"/>
        <w:rPr/>
      </w:pPr>
      <w:r>
        <w:rPr/>
        <w:t>CC:</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780" w:leader="none"/>
        <w:tab w:val="left" w:pos="4770" w:leader="none"/>
        <w:tab w:val="left" w:pos="765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432"/>
        </w:tabs>
        <w:ind w:start="432" w:hanging="360"/>
      </w:pPr>
      <w:rPr>
        <w:b/>
      </w:rPr>
    </w:lvl>
  </w:abstractNum>
  <w:abstractNum w:abstractNumId="3">
    <w:lvl w:ilvl="0">
      <w:start w:val="1"/>
      <w:numFmt w:val="decimal"/>
      <w:lvlText w:val="%1."/>
      <w:lvlJc w:val="start"/>
      <w:pPr>
        <w:tabs>
          <w:tab w:val="num" w:pos="717"/>
        </w:tabs>
        <w:ind w:start="717" w:hanging="64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b/>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2001-04-10T21:06:00Z</dcterms:created>
  <dc:creator>bredmon</dc:creator>
  <dc:description/>
  <dc:language>en-CA</dc:language>
  <cp:lastModifiedBy>bredmon</cp:lastModifiedBy>
  <cp:lastPrinted>2001-04-10T16:21:00Z</cp:lastPrinted>
  <dcterms:modified xsi:type="dcterms:W3CDTF">2001-04-10T21:06:00Z</dcterms:modified>
  <cp:revision>2</cp:revision>
  <dc:subject/>
  <dc:title>Better, Faster, Simpler Memo </dc:title>
</cp:coreProperties>
</file>