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Status of HPL Transition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March 27, 2001</w:t>
            </w:r>
          </w:p>
        </w:tc>
      </w:tr>
    </w:tbl>
    <w:p>
      <w:pPr>
        <w:pStyle w:val="Body"/>
        <w:rPr/>
      </w:pPr>
      <w:r>
        <w:rPr/>
      </w:r>
      <w:bookmarkStart w:id="3" w:name="StartOfMemo"/>
      <w:bookmarkStart w:id="4" w:name="StartOfMemo"/>
      <w:bookmarkEnd w:id="4"/>
    </w:p>
    <w:p>
      <w:pPr>
        <w:pStyle w:val="Body"/>
        <w:rPr>
          <w:b/>
        </w:rPr>
      </w:pPr>
      <w:r>
        <w:rPr>
          <w:b/>
        </w:rPr>
        <w:t>The following provides an update as to the critical path items to Close the HPL transaction.</w:t>
      </w:r>
    </w:p>
    <w:p>
      <w:pPr>
        <w:pStyle w:val="Body"/>
        <w:rPr>
          <w:b/>
          <w:u w:val="single"/>
        </w:rPr>
      </w:pPr>
      <w:r>
        <w:rPr>
          <w:b/>
        </w:rPr>
        <w:t>Current Plan: 1 June 2001</w:t>
      </w:r>
    </w:p>
    <w:p>
      <w:pPr>
        <w:pStyle w:val="Body"/>
        <w:rPr>
          <w:b/>
          <w:u w:val="single"/>
        </w:rPr>
      </w:pPr>
      <w:r>
        <w:rPr>
          <w:b/>
          <w:u w:val="single"/>
        </w:rPr>
      </w:r>
    </w:p>
    <w:p>
      <w:pPr>
        <w:pStyle w:val="Body"/>
        <w:rPr>
          <w:b/>
        </w:rPr>
      </w:pPr>
      <w:r>
        <w:rPr>
          <w:b/>
        </w:rPr>
      </w:r>
    </w:p>
    <w:p>
      <w:pPr>
        <w:pStyle w:val="Body"/>
        <w:numPr>
          <w:ilvl w:val="0"/>
          <w:numId w:val="3"/>
        </w:numPr>
        <w:rPr>
          <w:b/>
        </w:rPr>
      </w:pPr>
      <w:r>
        <w:rPr>
          <w:b/>
        </w:rPr>
        <w:t>Hart Scott Rodino/Texas AG:  (R. Shapiro, M. Haedicke, B. Gray, A. Ballard): Critical path is responding to 2</w:t>
      </w:r>
      <w:r>
        <w:rPr>
          <w:b/>
          <w:vertAlign w:val="superscript"/>
        </w:rPr>
        <w:t>nd</w:t>
      </w:r>
      <w:r>
        <w:rPr>
          <w:b/>
        </w:rPr>
        <w:t xml:space="preserve"> request from DoJ.</w:t>
      </w:r>
    </w:p>
    <w:p>
      <w:pPr>
        <w:pStyle w:val="Body"/>
        <w:rPr>
          <w:b/>
        </w:rPr>
      </w:pPr>
      <w:r>
        <w:rPr>
          <w:b/>
        </w:rPr>
      </w:r>
    </w:p>
    <w:p>
      <w:pPr>
        <w:pStyle w:val="Body"/>
        <w:ind w:hanging="1443" w:start="2160" w:end="0"/>
        <w:jc w:val="both"/>
        <w:rPr/>
      </w:pPr>
      <w:r>
        <w:rPr/>
        <w:t>Status:</w:t>
        <w:tab/>
        <w:t>Response to 2</w:t>
      </w:r>
      <w:r>
        <w:rPr>
          <w:vertAlign w:val="superscript"/>
        </w:rPr>
        <w:t>nd</w:t>
      </w:r>
      <w:r>
        <w:rPr/>
        <w:t xml:space="preserve"> request will be filed by 30 March.  Information will also be sent to Texas AG office.</w:t>
      </w:r>
    </w:p>
    <w:p>
      <w:pPr>
        <w:pStyle w:val="Body"/>
        <w:ind w:hanging="1443" w:start="2160" w:end="0"/>
        <w:jc w:val="both"/>
        <w:rPr/>
      </w:pPr>
      <w:r>
        <w:rPr/>
      </w:r>
    </w:p>
    <w:p>
      <w:pPr>
        <w:pStyle w:val="Body"/>
        <w:ind w:hanging="1443" w:start="2160" w:end="0"/>
        <w:jc w:val="both"/>
        <w:rPr/>
      </w:pPr>
      <w:r>
        <w:rPr/>
        <w:t>Issues:</w:t>
        <w:tab/>
        <w:t>DoJ will have 30 days from the point that we are in “substantial compliance” with their 2</w:t>
      </w:r>
      <w:r>
        <w:rPr>
          <w:vertAlign w:val="superscript"/>
        </w:rPr>
        <w:t>nd</w:t>
      </w:r>
      <w:r>
        <w:rPr/>
        <w:t xml:space="preserve"> request to render a decision (1 May 2001).  We need to ensure that the information we submit is complete the first time it is submitted or we will miss the 1 May date.</w:t>
      </w:r>
    </w:p>
    <w:p>
      <w:pPr>
        <w:pStyle w:val="Body"/>
        <w:ind w:hanging="1443" w:start="2160" w:end="0"/>
        <w:jc w:val="both"/>
        <w:rPr/>
      </w:pPr>
      <w:r>
        <w:rPr/>
      </w:r>
    </w:p>
    <w:p>
      <w:pPr>
        <w:pStyle w:val="Body"/>
        <w:ind w:hanging="1443" w:start="2160" w:end="0"/>
        <w:jc w:val="both"/>
        <w:rPr/>
      </w:pPr>
      <w:r>
        <w:rPr/>
        <w:t>Actions:</w:t>
        <w:tab/>
        <w:t>B. Gray coordinating responses to questions.  L. Leibman/Rick Shapiro to work behind the scenes with contacts at DoJ to identify any issues/areas where we may not be in full compliance.</w:t>
      </w:r>
    </w:p>
    <w:p>
      <w:pPr>
        <w:pStyle w:val="Body"/>
        <w:ind w:hanging="723" w:start="1440" w:end="0"/>
        <w:rPr/>
      </w:pPr>
      <w:r>
        <w:rPr/>
      </w:r>
    </w:p>
    <w:p>
      <w:pPr>
        <w:pStyle w:val="Body"/>
        <w:ind w:hanging="723" w:start="1440" w:end="0"/>
        <w:rPr>
          <w:b/>
        </w:rPr>
      </w:pPr>
      <w:r>
        <w:rPr>
          <w:rFonts w:eastAsia="Arial"/>
        </w:rPr>
        <w:t xml:space="preserve">     </w:t>
      </w:r>
    </w:p>
    <w:p>
      <w:pPr>
        <w:pStyle w:val="Body"/>
        <w:ind w:hanging="648" w:start="720" w:end="0"/>
        <w:rPr>
          <w:b/>
        </w:rPr>
      </w:pPr>
      <w:r>
        <w:rPr>
          <w:b/>
        </w:rPr>
        <w:t>2.</w:t>
        <w:tab/>
        <w:t>A/S Line Repair: (S. Schneider/Ken Kaase): Critical path is time required to process smart pig data.</w:t>
      </w:r>
    </w:p>
    <w:p>
      <w:pPr>
        <w:pStyle w:val="Body"/>
        <w:rPr>
          <w:b/>
        </w:rPr>
      </w:pPr>
      <w:r>
        <w:rPr>
          <w:b/>
        </w:rPr>
      </w:r>
    </w:p>
    <w:p>
      <w:pPr>
        <w:pStyle w:val="Body"/>
        <w:ind w:hanging="1443" w:start="2160" w:end="0"/>
        <w:jc w:val="both"/>
        <w:rPr/>
      </w:pPr>
      <w:r>
        <w:rPr/>
        <w:t>Status:</w:t>
        <w:tab/>
        <w:t xml:space="preserve">Pigging operation has started and first phase will be completed by 5 April, Phase II smart pigging to be completed 23 April.  Initial Phase I report will be received 20 April and initial Phase II report to be received 5 May.  Final reports received by mid-May. </w:t>
      </w:r>
    </w:p>
    <w:p>
      <w:pPr>
        <w:pStyle w:val="Body"/>
        <w:ind w:hanging="1443" w:start="2160" w:end="0"/>
        <w:jc w:val="both"/>
        <w:rPr/>
      </w:pPr>
      <w:r>
        <w:rPr/>
      </w:r>
    </w:p>
    <w:p>
      <w:pPr>
        <w:pStyle w:val="Body"/>
        <w:ind w:hanging="1443" w:start="2160" w:end="0"/>
        <w:jc w:val="both"/>
        <w:rPr/>
      </w:pPr>
      <w:r>
        <w:rPr/>
        <w:t>Issues:</w:t>
        <w:tab/>
        <w:t>After pigging results are finalized we need to to meet with AEP to discuss A/S line risk sharing arrangement that will enable us to Close before any required repairs are completed.</w:t>
      </w:r>
    </w:p>
    <w:p>
      <w:pPr>
        <w:pStyle w:val="Body"/>
        <w:ind w:hanging="1443" w:start="2160" w:end="0"/>
        <w:jc w:val="both"/>
        <w:rPr/>
      </w:pPr>
      <w:r>
        <w:rPr/>
      </w:r>
    </w:p>
    <w:p>
      <w:pPr>
        <w:pStyle w:val="Body"/>
        <w:ind w:hanging="1443" w:start="2160" w:end="0"/>
        <w:jc w:val="both"/>
        <w:rPr/>
      </w:pPr>
      <w:r>
        <w:rPr/>
        <w:t>Actions:</w:t>
        <w:tab/>
        <w:t>Finalize amendments to agreements once pigging results are known (B. Redmond, A. Koehler).</w:t>
      </w:r>
    </w:p>
    <w:p>
      <w:pPr>
        <w:pStyle w:val="Body"/>
        <w:rPr>
          <w:b/>
        </w:rPr>
      </w:pPr>
      <w:r>
        <w:rPr>
          <w:b/>
        </w:rPr>
      </w:r>
    </w:p>
    <w:p>
      <w:pPr>
        <w:pStyle w:val="Body"/>
        <w:rPr>
          <w:b/>
        </w:rPr>
      </w:pPr>
      <w:r>
        <w:rPr>
          <w:b/>
        </w:rPr>
      </w:r>
    </w:p>
    <w:p>
      <w:pPr>
        <w:pStyle w:val="Body"/>
        <w:rPr>
          <w:b/>
        </w:rPr>
      </w:pPr>
      <w:r>
        <w:rPr>
          <w:b/>
        </w:rPr>
        <w:t>3.</w:t>
        <w:tab/>
        <w:t>IT Systems: (P. Bibi, T. Yanowski): Critical path is to set up HPL in a temporary location at 1201 Louisiana.</w:t>
      </w:r>
    </w:p>
    <w:p>
      <w:pPr>
        <w:pStyle w:val="Body"/>
        <w:rPr/>
      </w:pPr>
      <w:r>
        <w:rPr/>
        <w:tab/>
        <w:tab/>
        <w:tab/>
        <w:tab/>
        <w:tab/>
        <w:tab/>
      </w:r>
    </w:p>
    <w:p>
      <w:pPr>
        <w:pStyle w:val="Body"/>
        <w:ind w:hanging="1443" w:start="2160" w:end="0"/>
        <w:jc w:val="both"/>
        <w:rPr/>
      </w:pPr>
      <w:r>
        <w:rPr/>
        <w:t>Status:</w:t>
        <w:tab/>
        <w:t>HPL to move operations to the 15</w:t>
      </w:r>
      <w:r>
        <w:rPr>
          <w:vertAlign w:val="superscript"/>
        </w:rPr>
        <w:t>th</w:t>
      </w:r>
      <w:r>
        <w:rPr/>
        <w:t xml:space="preserve"> floor of 1201 Louisiana starting 20 April.  Critical path is to agree details of interfaces between AEP and Enron systems.</w:t>
      </w:r>
    </w:p>
    <w:p>
      <w:pPr>
        <w:pStyle w:val="Body"/>
        <w:ind w:hanging="1443" w:start="2160" w:end="0"/>
        <w:jc w:val="both"/>
        <w:rPr>
          <w:rFonts w:eastAsia="Arial"/>
        </w:rPr>
      </w:pPr>
      <w:r>
        <w:rPr>
          <w:rFonts w:eastAsia="Arial"/>
        </w:rPr>
        <w:t xml:space="preserve"> </w:t>
      </w:r>
    </w:p>
    <w:p>
      <w:pPr>
        <w:pStyle w:val="Body"/>
        <w:ind w:hanging="1443" w:start="2160" w:end="0"/>
        <w:jc w:val="both"/>
        <w:rPr/>
      </w:pPr>
      <w:r>
        <w:rPr/>
        <w:t>Issues:</w:t>
        <w:tab/>
        <w:t>AEP is struggling to complete system interfaces to enable the temporary operations to be in place by 1 June Close.   These interfaces will be done manually until AEP completes these interfaces.</w:t>
      </w:r>
    </w:p>
    <w:p>
      <w:pPr>
        <w:pStyle w:val="Body"/>
        <w:ind w:hanging="1443" w:start="2160" w:end="0"/>
        <w:jc w:val="both"/>
        <w:rPr/>
      </w:pPr>
      <w:r>
        <w:rPr/>
      </w:r>
    </w:p>
    <w:p>
      <w:pPr>
        <w:pStyle w:val="Body"/>
        <w:ind w:hanging="1443" w:start="2160" w:end="0"/>
        <w:jc w:val="both"/>
        <w:rPr/>
      </w:pPr>
      <w:r>
        <w:rPr/>
        <w:t>Actions:</w:t>
        <w:tab/>
        <w:t>ENA to revise HW/SW/Data/Process interface plan/protocol based on recent meetings to clearly define interface that will be in place at Closing (T. Yanowski, B. Gray)</w:t>
      </w:r>
    </w:p>
    <w:p>
      <w:pPr>
        <w:pStyle w:val="Body"/>
        <w:ind w:hanging="1443" w:start="2160" w:end="0"/>
        <w:jc w:val="both"/>
        <w:rPr>
          <w:b/>
        </w:rPr>
      </w:pPr>
      <w:r>
        <w:rPr>
          <w:b/>
        </w:rPr>
      </w:r>
    </w:p>
    <w:p>
      <w:pPr>
        <w:pStyle w:val="Body"/>
        <w:ind w:hanging="1443" w:start="2160" w:end="0"/>
        <w:jc w:val="both"/>
        <w:rPr>
          <w:b/>
        </w:rPr>
      </w:pPr>
      <w:r>
        <w:rPr>
          <w:b/>
        </w:rPr>
      </w:r>
    </w:p>
    <w:p>
      <w:pPr>
        <w:pStyle w:val="Body"/>
        <w:numPr>
          <w:ilvl w:val="0"/>
          <w:numId w:val="2"/>
        </w:numPr>
        <w:rPr/>
      </w:pPr>
      <w:r>
        <w:rPr>
          <w:b/>
        </w:rPr>
        <w:t xml:space="preserve">Treatment of A/P, A/R bank accounts after Closing: </w:t>
      </w:r>
    </w:p>
    <w:p>
      <w:pPr>
        <w:pStyle w:val="Body"/>
        <w:ind w:hanging="1443" w:start="2160" w:end="0"/>
        <w:jc w:val="both"/>
        <w:rPr/>
      </w:pPr>
      <w:r>
        <w:rPr/>
      </w:r>
    </w:p>
    <w:p>
      <w:pPr>
        <w:pStyle w:val="Body"/>
        <w:ind w:hanging="1443" w:start="2160" w:end="0"/>
        <w:jc w:val="both"/>
        <w:rPr/>
      </w:pPr>
      <w:r>
        <w:rPr/>
        <w:t>Status:</w:t>
        <w:tab/>
        <w:t>Protocol drafted on how A/P and A/R bank accounts will be handled after Closing.</w:t>
      </w:r>
    </w:p>
    <w:p>
      <w:pPr>
        <w:pStyle w:val="Body"/>
        <w:ind w:hanging="1443" w:start="2160" w:end="0"/>
        <w:jc w:val="both"/>
        <w:rPr/>
      </w:pPr>
      <w:r>
        <w:rPr/>
      </w:r>
    </w:p>
    <w:p>
      <w:pPr>
        <w:pStyle w:val="Body"/>
        <w:ind w:hanging="1443" w:start="2160" w:end="0"/>
        <w:jc w:val="both"/>
        <w:rPr/>
      </w:pPr>
      <w:r>
        <w:rPr/>
        <w:t>Issues:</w:t>
        <w:tab/>
        <w:t xml:space="preserve">Need to ensure AEP understands that at Closing, they will be assuming responsibility for open work orders and purchase orders that have not been paid/closed.  </w:t>
      </w:r>
    </w:p>
    <w:p>
      <w:pPr>
        <w:pStyle w:val="Body"/>
        <w:ind w:hanging="1443" w:start="2160" w:end="0"/>
        <w:jc w:val="both"/>
        <w:rPr/>
      </w:pPr>
      <w:r>
        <w:rPr/>
      </w:r>
    </w:p>
    <w:p>
      <w:pPr>
        <w:pStyle w:val="Body"/>
        <w:ind w:hanging="1443" w:start="2160" w:end="0"/>
        <w:jc w:val="both"/>
        <w:rPr/>
      </w:pPr>
      <w:r>
        <w:rPr/>
        <w:t>Actions:</w:t>
        <w:tab/>
        <w:t xml:space="preserve">Send protocol to AEP by Wednesday (M. Perkins, J. Coffey, B. Hall, S. Braband)   </w:t>
      </w:r>
    </w:p>
    <w:p>
      <w:pPr>
        <w:pStyle w:val="Body"/>
        <w:rPr>
          <w:b/>
        </w:rPr>
      </w:pPr>
      <w:r>
        <w:rPr>
          <w:b/>
        </w:rPr>
      </w:r>
    </w:p>
    <w:p>
      <w:pPr>
        <w:pStyle w:val="Body"/>
        <w:rPr>
          <w:b/>
        </w:rPr>
      </w:pPr>
      <w:r>
        <w:rPr>
          <w:b/>
        </w:rPr>
      </w:r>
    </w:p>
    <w:p>
      <w:pPr>
        <w:pStyle w:val="Body"/>
        <w:numPr>
          <w:ilvl w:val="0"/>
          <w:numId w:val="2"/>
        </w:numPr>
        <w:rPr/>
      </w:pPr>
      <w:r>
        <w:rPr>
          <w:rFonts w:eastAsia="Arial"/>
          <w:b/>
        </w:rPr>
        <w:t xml:space="preserve">  </w:t>
      </w:r>
      <w:r>
        <w:rPr>
          <w:b/>
        </w:rPr>
        <w:t xml:space="preserve">Treatment of Swaps for Fixed Price Deals: </w:t>
      </w:r>
    </w:p>
    <w:p>
      <w:pPr>
        <w:pStyle w:val="Body"/>
        <w:ind w:hanging="1443" w:start="2160" w:end="0"/>
        <w:jc w:val="both"/>
        <w:rPr/>
      </w:pPr>
      <w:r>
        <w:rPr/>
      </w:r>
    </w:p>
    <w:p>
      <w:pPr>
        <w:pStyle w:val="Body"/>
        <w:ind w:hanging="1443" w:start="2160" w:end="0"/>
        <w:jc w:val="both"/>
        <w:rPr/>
      </w:pPr>
      <w:r>
        <w:rPr/>
        <w:t>Status:</w:t>
        <w:tab/>
        <w:t>Agreement reached with AEP.  Letter agreement and “deal confirms” being drafted.</w:t>
      </w:r>
    </w:p>
    <w:p>
      <w:pPr>
        <w:pStyle w:val="Body"/>
        <w:ind w:hanging="1443" w:start="2160" w:end="0"/>
        <w:jc w:val="both"/>
        <w:rPr/>
      </w:pPr>
      <w:r>
        <w:rPr/>
      </w:r>
    </w:p>
    <w:p>
      <w:pPr>
        <w:pStyle w:val="Body"/>
        <w:ind w:hanging="1443" w:start="2160" w:end="0"/>
        <w:jc w:val="both"/>
        <w:rPr/>
      </w:pPr>
      <w:r>
        <w:rPr/>
        <w:t>Issues:</w:t>
        <w:tab/>
        <w:t xml:space="preserve">Need to ensure that AEP signs off on the fact that the swaps do not require Enron to post collateral.  </w:t>
      </w:r>
    </w:p>
    <w:p>
      <w:pPr>
        <w:pStyle w:val="Body"/>
        <w:ind w:hanging="1443" w:start="2160" w:end="0"/>
        <w:jc w:val="both"/>
        <w:rPr/>
      </w:pPr>
      <w:r>
        <w:rPr/>
      </w:r>
    </w:p>
    <w:p>
      <w:pPr>
        <w:pStyle w:val="Body"/>
        <w:ind w:hanging="1443" w:start="2160" w:end="0"/>
        <w:jc w:val="both"/>
        <w:rPr/>
      </w:pPr>
      <w:r>
        <w:rPr/>
        <w:t>Actions:</w:t>
        <w:tab/>
        <w:t xml:space="preserve">T. Rohauer/C. St. Claire to submit letter agreement to AEP by Thursday.  </w:t>
      </w:r>
    </w:p>
    <w:p>
      <w:pPr>
        <w:pStyle w:val="Body"/>
        <w:rPr>
          <w:b/>
        </w:rPr>
      </w:pPr>
      <w:r>
        <w:rPr>
          <w:b/>
        </w:rPr>
      </w:r>
    </w:p>
    <w:p>
      <w:pPr>
        <w:pStyle w:val="Body"/>
        <w:rPr>
          <w:b/>
        </w:rPr>
      </w:pPr>
      <w:r>
        <w:rPr>
          <w:b/>
        </w:rPr>
      </w:r>
    </w:p>
    <w:p>
      <w:pPr>
        <w:pStyle w:val="Body"/>
        <w:numPr>
          <w:ilvl w:val="0"/>
          <w:numId w:val="2"/>
        </w:numPr>
        <w:rPr/>
      </w:pPr>
      <w:r>
        <w:rPr>
          <w:b/>
        </w:rPr>
        <w:t>Balance Sheet Items: Definition of Houston vs. Non-Houston Assets.</w:t>
      </w:r>
    </w:p>
    <w:p>
      <w:pPr>
        <w:pStyle w:val="Body"/>
        <w:ind w:hanging="1443" w:start="2160" w:end="0"/>
        <w:jc w:val="both"/>
        <w:rPr/>
      </w:pPr>
      <w:r>
        <w:rPr/>
      </w:r>
    </w:p>
    <w:p>
      <w:pPr>
        <w:pStyle w:val="Body"/>
        <w:ind w:hanging="1443" w:start="2160" w:end="0"/>
        <w:jc w:val="both"/>
        <w:rPr/>
      </w:pPr>
      <w:r>
        <w:rPr/>
        <w:t>Status:</w:t>
        <w:tab/>
        <w:t>Need to revise the detailed list of “Non-Houston Assets” that will be purchased.  Need to provide a list of the “Houston Assets” (with no $ figures) that will be leased.</w:t>
      </w:r>
    </w:p>
    <w:p>
      <w:pPr>
        <w:pStyle w:val="Body"/>
        <w:ind w:hanging="1443" w:start="2160" w:end="0"/>
        <w:jc w:val="both"/>
        <w:rPr/>
      </w:pPr>
      <w:r>
        <w:rPr/>
      </w:r>
    </w:p>
    <w:p>
      <w:pPr>
        <w:pStyle w:val="Body"/>
        <w:ind w:hanging="1443" w:start="2160" w:end="0"/>
        <w:jc w:val="both"/>
        <w:rPr/>
      </w:pPr>
      <w:r>
        <w:rPr/>
        <w:t>Issues:</w:t>
        <w:tab/>
        <w:t>AEP may object to certain “general plant” assets being included in the lease.</w:t>
      </w:r>
    </w:p>
    <w:p>
      <w:pPr>
        <w:pStyle w:val="Body"/>
        <w:ind w:hanging="1443" w:start="2160" w:end="0"/>
        <w:jc w:val="both"/>
        <w:rPr/>
      </w:pPr>
      <w:r>
        <w:rPr/>
      </w:r>
    </w:p>
    <w:p>
      <w:pPr>
        <w:pStyle w:val="Body"/>
        <w:ind w:hanging="1443" w:start="2160" w:end="0"/>
        <w:jc w:val="both"/>
        <w:rPr/>
      </w:pPr>
      <w:r>
        <w:rPr/>
        <w:t>Actions:</w:t>
        <w:tab/>
        <w:t>Prepare Non-Houston and Houston Assets list and submit to AEP as a basis for revising the agreement schedules by next week (J. Coffey).</w:t>
      </w:r>
    </w:p>
    <w:p>
      <w:pPr>
        <w:pStyle w:val="Body"/>
        <w:rPr>
          <w:b/>
        </w:rPr>
      </w:pPr>
      <w:r>
        <w:rPr>
          <w:b/>
        </w:rPr>
      </w:r>
    </w:p>
    <w:p>
      <w:pPr>
        <w:pStyle w:val="Body"/>
        <w:rPr>
          <w:b/>
        </w:rPr>
      </w:pPr>
      <w:r>
        <w:rPr>
          <w:b/>
        </w:rPr>
      </w:r>
    </w:p>
    <w:p>
      <w:pPr>
        <w:pStyle w:val="Body"/>
        <w:numPr>
          <w:ilvl w:val="0"/>
          <w:numId w:val="2"/>
        </w:numPr>
        <w:rPr/>
      </w:pPr>
      <w:r>
        <w:rPr>
          <w:b/>
        </w:rPr>
        <w:t>Post-Close CWIP and Invoices Received: Capital Enron has invested since P&amp;S Agmt Balance Sheet.</w:t>
      </w:r>
    </w:p>
    <w:p>
      <w:pPr>
        <w:pStyle w:val="Body"/>
        <w:ind w:hanging="1443" w:start="2160" w:end="0"/>
        <w:jc w:val="both"/>
        <w:rPr/>
      </w:pPr>
      <w:r>
        <w:rPr/>
      </w:r>
    </w:p>
    <w:p>
      <w:pPr>
        <w:pStyle w:val="Body"/>
        <w:ind w:hanging="1443" w:start="2160" w:end="0"/>
        <w:jc w:val="both"/>
        <w:rPr/>
      </w:pPr>
      <w:r>
        <w:rPr/>
        <w:t>Status:</w:t>
        <w:tab/>
        <w:t>Outstanding CWIP that has not been invoiced to Enron will be assumed by AEP.  Enron’s final basis will be determined based on invoices received prior to Closing.  AEP will book costs for invoices received after Closing.</w:t>
      </w:r>
    </w:p>
    <w:p>
      <w:pPr>
        <w:pStyle w:val="Body"/>
        <w:ind w:hanging="1443" w:start="2160" w:end="0"/>
        <w:jc w:val="both"/>
        <w:rPr/>
      </w:pPr>
      <w:r>
        <w:rPr/>
      </w:r>
    </w:p>
    <w:p>
      <w:pPr>
        <w:pStyle w:val="Body"/>
        <w:ind w:hanging="1443" w:start="2160" w:end="0"/>
        <w:jc w:val="both"/>
        <w:rPr/>
      </w:pPr>
      <w:r>
        <w:rPr/>
        <w:t>Issues:</w:t>
        <w:tab/>
        <w:t>AEP needs to understand that they will be responsible for open CWIP after Closing.</w:t>
      </w:r>
    </w:p>
    <w:p>
      <w:pPr>
        <w:pStyle w:val="Body"/>
        <w:ind w:hanging="1443" w:start="2160" w:end="0"/>
        <w:jc w:val="both"/>
        <w:rPr/>
      </w:pPr>
      <w:r>
        <w:rPr/>
      </w:r>
    </w:p>
    <w:p>
      <w:pPr>
        <w:pStyle w:val="Body"/>
        <w:ind w:hanging="1443" w:start="2160" w:end="0"/>
        <w:jc w:val="both"/>
        <w:rPr/>
      </w:pPr>
      <w:r>
        <w:rPr/>
        <w:t>Actions:</w:t>
        <w:tab/>
        <w:t>J. Coffey/S. Brand drafting a protocol to cover treatment of open capital contributions and commitments for AEP’s review.</w:t>
      </w:r>
    </w:p>
    <w:p>
      <w:pPr>
        <w:pStyle w:val="Body"/>
        <w:ind w:start="0" w:end="0"/>
        <w:rPr>
          <w:b/>
        </w:rPr>
      </w:pPr>
      <w:r>
        <w:rPr>
          <w:b/>
        </w:rPr>
      </w:r>
    </w:p>
    <w:p>
      <w:pPr>
        <w:pStyle w:val="Body"/>
        <w:ind w:start="0" w:end="0"/>
        <w:rPr>
          <w:b/>
        </w:rPr>
      </w:pPr>
      <w:r>
        <w:rPr>
          <w:b/>
        </w:rPr>
      </w:r>
    </w:p>
    <w:p>
      <w:pPr>
        <w:pStyle w:val="Body"/>
        <w:numPr>
          <w:ilvl w:val="0"/>
          <w:numId w:val="2"/>
        </w:numPr>
        <w:rPr>
          <w:b/>
        </w:rPr>
      </w:pPr>
      <w:r>
        <w:rPr>
          <w:b/>
        </w:rPr>
        <w:t xml:space="preserve">HR Issues: Finalize list of employees transferring to AEP. </w:t>
      </w:r>
    </w:p>
    <w:p>
      <w:pPr>
        <w:pStyle w:val="Body"/>
        <w:ind w:start="0" w:end="0"/>
        <w:rPr>
          <w:b/>
        </w:rPr>
      </w:pPr>
      <w:r>
        <w:rPr>
          <w:b/>
        </w:rPr>
      </w:r>
    </w:p>
    <w:p>
      <w:pPr>
        <w:pStyle w:val="Body"/>
        <w:ind w:hanging="1443" w:start="2160" w:end="0"/>
        <w:jc w:val="both"/>
        <w:rPr/>
      </w:pPr>
      <w:r>
        <w:rPr/>
        <w:t>Status:</w:t>
        <w:tab/>
        <w:t xml:space="preserve">Five people have follow up actions required.  All others have either: (i) accepted AEP’s terms, (ii) rejected AEP’s terms and are planning to retire or resign at Close, or (iii) rejected AEPs terms and understand AEP will sever them.  </w:t>
      </w:r>
    </w:p>
    <w:p>
      <w:pPr>
        <w:pStyle w:val="Body"/>
        <w:ind w:hanging="1443" w:start="2160" w:end="0"/>
        <w:jc w:val="both"/>
        <w:rPr/>
      </w:pPr>
      <w:r>
        <w:rPr/>
      </w:r>
    </w:p>
    <w:p>
      <w:pPr>
        <w:pStyle w:val="Body"/>
        <w:ind w:hanging="1443" w:start="2160" w:end="0"/>
        <w:jc w:val="both"/>
        <w:rPr/>
      </w:pPr>
      <w:r>
        <w:rPr/>
        <w:t>Issues:</w:t>
        <w:tab/>
        <w:t>Ensure that HPL employees clearly understand their status post-Closing so there is no backlash to Enron.</w:t>
      </w:r>
    </w:p>
    <w:p>
      <w:pPr>
        <w:pStyle w:val="Body"/>
        <w:ind w:hanging="1443" w:start="2160" w:end="0"/>
        <w:jc w:val="both"/>
        <w:rPr/>
      </w:pPr>
      <w:r>
        <w:rPr/>
      </w:r>
    </w:p>
    <w:p>
      <w:pPr>
        <w:pStyle w:val="Body"/>
        <w:ind w:hanging="1443" w:start="2160" w:end="0"/>
        <w:jc w:val="both"/>
        <w:rPr/>
      </w:pPr>
      <w:r>
        <w:rPr/>
        <w:t>Actions:</w:t>
        <w:tab/>
        <w:t xml:space="preserve">ENA to send out memo to employees setting forth how HR issues should be addressed and questions should be answered post-Closing. </w:t>
      </w:r>
    </w:p>
    <w:p>
      <w:pPr>
        <w:pStyle w:val="Body"/>
        <w:ind w:start="0" w:end="0"/>
        <w:rPr>
          <w:b/>
        </w:rPr>
      </w:pPr>
      <w:r>
        <w:rPr>
          <w:b/>
        </w:rPr>
      </w:r>
    </w:p>
    <w:p>
      <w:pPr>
        <w:pStyle w:val="Body"/>
        <w:ind w:start="0" w:end="0"/>
        <w:rPr>
          <w:b/>
        </w:rPr>
      </w:pPr>
      <w:r>
        <w:rPr>
          <w:b/>
        </w:rPr>
      </w:r>
    </w:p>
    <w:p>
      <w:pPr>
        <w:pStyle w:val="Body"/>
        <w:numPr>
          <w:ilvl w:val="0"/>
          <w:numId w:val="2"/>
        </w:numPr>
        <w:rPr>
          <w:b/>
        </w:rPr>
      </w:pPr>
      <w:r>
        <w:rPr>
          <w:b/>
        </w:rPr>
        <w:t xml:space="preserve">Replacement of Enron Guarantees: Begin meeting with counterparties to start process </w:t>
      </w:r>
    </w:p>
    <w:p>
      <w:pPr>
        <w:pStyle w:val="Body"/>
        <w:ind w:start="0" w:end="0"/>
        <w:rPr>
          <w:b/>
        </w:rPr>
      </w:pPr>
      <w:r>
        <w:rPr>
          <w:b/>
        </w:rPr>
      </w:r>
    </w:p>
    <w:p>
      <w:pPr>
        <w:pStyle w:val="Body"/>
        <w:ind w:hanging="1443" w:start="2160" w:end="0"/>
        <w:jc w:val="both"/>
        <w:rPr/>
      </w:pPr>
      <w:r>
        <w:rPr/>
        <w:t>Status:</w:t>
        <w:tab/>
        <w:t>Consolidated list guarantees and form of release statement sent to AEP for review.</w:t>
      </w:r>
    </w:p>
    <w:p>
      <w:pPr>
        <w:pStyle w:val="Body"/>
        <w:ind w:hanging="1443" w:start="2160" w:end="0"/>
        <w:jc w:val="both"/>
        <w:rPr/>
      </w:pPr>
      <w:r>
        <w:rPr/>
      </w:r>
    </w:p>
    <w:p>
      <w:pPr>
        <w:pStyle w:val="Body"/>
        <w:ind w:hanging="1443" w:start="2160" w:end="0"/>
        <w:jc w:val="both"/>
        <w:rPr/>
      </w:pPr>
      <w:r>
        <w:rPr/>
        <w:t>Issues:</w:t>
        <w:tab/>
        <w:t>Need to follow up on any issues from AEP.</w:t>
      </w:r>
    </w:p>
    <w:p>
      <w:pPr>
        <w:pStyle w:val="Body"/>
        <w:ind w:hanging="1443" w:start="2160" w:end="0"/>
        <w:jc w:val="both"/>
        <w:rPr/>
      </w:pPr>
      <w:r>
        <w:rPr/>
      </w:r>
    </w:p>
    <w:p>
      <w:pPr>
        <w:pStyle w:val="Body"/>
        <w:ind w:hanging="1443" w:start="2160" w:end="0"/>
        <w:jc w:val="both"/>
        <w:rPr/>
      </w:pPr>
      <w:r>
        <w:rPr/>
        <w:t>Actions:</w:t>
        <w:tab/>
        <w:t>Follow up to get AEP to review and respond.</w:t>
      </w:r>
    </w:p>
    <w:p>
      <w:pPr>
        <w:pStyle w:val="Body"/>
        <w:ind w:start="0" w:end="0"/>
        <w:rPr>
          <w:b/>
        </w:rPr>
      </w:pPr>
      <w:r>
        <w:rPr>
          <w:b/>
        </w:rPr>
      </w:r>
    </w:p>
    <w:p>
      <w:pPr>
        <w:pStyle w:val="Body"/>
        <w:ind w:start="0" w:end="0"/>
        <w:rPr>
          <w:b/>
        </w:rPr>
      </w:pPr>
      <w:r>
        <w:rPr>
          <w:b/>
        </w:rPr>
      </w:r>
    </w:p>
    <w:p>
      <w:pPr>
        <w:pStyle w:val="Body"/>
        <w:ind w:start="0" w:end="0"/>
        <w:rPr>
          <w:b/>
        </w:rPr>
      </w:pPr>
      <w:r>
        <w:rPr>
          <w:b/>
        </w:rPr>
      </w:r>
    </w:p>
    <w:p>
      <w:pPr>
        <w:pStyle w:val="Body"/>
        <w:numPr>
          <w:ilvl w:val="0"/>
          <w:numId w:val="2"/>
        </w:numPr>
        <w:ind w:hanging="648" w:start="720" w:end="0"/>
        <w:rPr>
          <w:b/>
        </w:rPr>
      </w:pPr>
      <w:r>
        <w:rPr>
          <w:b/>
        </w:rPr>
        <w:t>Business Operations Processes: (S. Beck, R. Hall): Critical path is to develop a protocol with AEP to govern back-office functions before, during, and after the Closing Date.</w:t>
      </w:r>
    </w:p>
    <w:p>
      <w:pPr>
        <w:pStyle w:val="Body"/>
        <w:rPr>
          <w:b/>
        </w:rPr>
      </w:pPr>
      <w:r>
        <w:rPr>
          <w:b/>
        </w:rPr>
      </w:r>
    </w:p>
    <w:p>
      <w:pPr>
        <w:pStyle w:val="Body"/>
        <w:ind w:hanging="1443" w:start="2160" w:end="0"/>
        <w:jc w:val="both"/>
        <w:rPr/>
      </w:pPr>
      <w:r>
        <w:rPr/>
        <w:t>Status:</w:t>
        <w:tab/>
        <w:t>Internal note drafted by Business Ops and circulated to IT, accounting and legal.</w:t>
      </w:r>
    </w:p>
    <w:p>
      <w:pPr>
        <w:pStyle w:val="Body"/>
        <w:ind w:hanging="1443" w:start="2160" w:end="0"/>
        <w:jc w:val="both"/>
        <w:rPr/>
      </w:pPr>
      <w:r>
        <w:rPr/>
      </w:r>
    </w:p>
    <w:p>
      <w:pPr>
        <w:pStyle w:val="Body"/>
        <w:ind w:hanging="1443" w:start="2160" w:end="0"/>
        <w:jc w:val="both"/>
        <w:rPr/>
      </w:pPr>
      <w:r>
        <w:rPr/>
        <w:t>Issues:</w:t>
        <w:tab/>
        <w:t>Need to revise based on internal comments and document agreement in a written protocol with AEP.</w:t>
      </w:r>
    </w:p>
    <w:p>
      <w:pPr>
        <w:pStyle w:val="Body"/>
        <w:ind w:hanging="1443" w:start="2160" w:end="0"/>
        <w:jc w:val="both"/>
        <w:rPr/>
      </w:pPr>
      <w:r>
        <w:rPr/>
      </w:r>
    </w:p>
    <w:p>
      <w:pPr>
        <w:pStyle w:val="Body"/>
        <w:ind w:hanging="1443" w:start="2160" w:end="0"/>
        <w:jc w:val="both"/>
        <w:rPr>
          <w:b/>
        </w:rPr>
      </w:pPr>
      <w:r>
        <w:rPr/>
        <w:t>Actions:</w:t>
        <w:tab/>
        <w:t>B. Hall revising internal note.  A. Koehler developing protocol to submit to AEP</w:t>
      </w:r>
    </w:p>
    <w:p>
      <w:pPr>
        <w:pStyle w:val="Body"/>
        <w:rPr>
          <w:b/>
        </w:rPr>
      </w:pPr>
      <w:r>
        <w:rPr>
          <w:b/>
        </w:rPr>
      </w:r>
    </w:p>
    <w:p>
      <w:pPr>
        <w:pStyle w:val="Body"/>
        <w:rPr>
          <w:b/>
        </w:rPr>
      </w:pPr>
      <w:r>
        <w:rPr>
          <w:b/>
        </w:rPr>
      </w:r>
    </w:p>
    <w:p>
      <w:pPr>
        <w:pStyle w:val="Body"/>
        <w:numPr>
          <w:ilvl w:val="0"/>
          <w:numId w:val="2"/>
        </w:numPr>
        <w:ind w:hanging="648" w:start="720" w:end="0"/>
        <w:rPr>
          <w:b/>
        </w:rPr>
      </w:pPr>
      <w:r>
        <w:rPr>
          <w:b/>
        </w:rPr>
        <w:t xml:space="preserve">Books &amp; Records: (A. Koehler, J. Coffey, C. Gilley): Need to separate pre-closing and post-closing information transfer. </w:t>
      </w:r>
    </w:p>
    <w:p>
      <w:pPr>
        <w:pStyle w:val="Body"/>
        <w:ind w:start="0" w:end="0"/>
        <w:rPr>
          <w:b/>
        </w:rPr>
      </w:pPr>
      <w:r>
        <w:rPr>
          <w:b/>
        </w:rPr>
      </w:r>
    </w:p>
    <w:p>
      <w:pPr>
        <w:pStyle w:val="Body"/>
        <w:ind w:hanging="1443" w:start="2160" w:end="0"/>
        <w:jc w:val="both"/>
        <w:rPr/>
      </w:pPr>
      <w:r>
        <w:rPr/>
        <w:t>Status:</w:t>
        <w:tab/>
        <w:t>We have narrowed the HPL information from 20,000 to 4,000 boxes.  Currently working to define the Books and Records that will be delivered on Closing.</w:t>
      </w:r>
    </w:p>
    <w:p>
      <w:pPr>
        <w:pStyle w:val="Body"/>
        <w:ind w:hanging="1443" w:start="2160" w:end="0"/>
        <w:jc w:val="both"/>
        <w:rPr/>
      </w:pPr>
      <w:r>
        <w:rPr/>
      </w:r>
    </w:p>
    <w:p>
      <w:pPr>
        <w:pStyle w:val="Body"/>
        <w:ind w:hanging="1443" w:start="2160" w:end="0"/>
        <w:jc w:val="both"/>
        <w:rPr/>
      </w:pPr>
      <w:r>
        <w:rPr/>
        <w:t>Issues:</w:t>
        <w:tab/>
        <w:t>Need to create a table of “information type” vs. “destroy by date” to narrow the 4,000 boxes to a smaller number.  This will be based on agreement in principal reached with AEP.</w:t>
      </w:r>
    </w:p>
    <w:p>
      <w:pPr>
        <w:pStyle w:val="Body"/>
        <w:ind w:hanging="1443" w:start="2160" w:end="0"/>
        <w:jc w:val="both"/>
        <w:rPr/>
      </w:pPr>
      <w:r>
        <w:rPr/>
      </w:r>
    </w:p>
    <w:p>
      <w:pPr>
        <w:pStyle w:val="Body"/>
        <w:ind w:hanging="1443" w:start="2160" w:end="0"/>
        <w:jc w:val="both"/>
        <w:rPr/>
      </w:pPr>
      <w:r>
        <w:rPr/>
        <w:t>Actions:</w:t>
        <w:tab/>
        <w:t>A. Koehler/C. Gilley to prepare “to be destroyed” document list to submit to AEP.</w:t>
      </w:r>
    </w:p>
    <w:p>
      <w:pPr>
        <w:pStyle w:val="Body"/>
        <w:ind w:hanging="1443" w:start="1443" w:end="0"/>
        <w:jc w:val="both"/>
        <w:rPr/>
      </w:pPr>
      <w:r>
        <w:rPr/>
      </w:r>
    </w:p>
    <w:p>
      <w:pPr>
        <w:pStyle w:val="Body"/>
        <w:ind w:hanging="1443" w:start="1443" w:end="0"/>
        <w:jc w:val="both"/>
        <w:rPr/>
      </w:pPr>
      <w:r>
        <w:rPr/>
      </w:r>
    </w:p>
    <w:p>
      <w:pPr>
        <w:pStyle w:val="Body"/>
        <w:numPr>
          <w:ilvl w:val="0"/>
          <w:numId w:val="2"/>
        </w:numPr>
        <w:tabs>
          <w:tab w:val="left" w:pos="720" w:leader="none"/>
        </w:tabs>
        <w:jc w:val="both"/>
        <w:rPr>
          <w:b/>
        </w:rPr>
      </w:pPr>
      <w:r>
        <w:rPr>
          <w:b/>
        </w:rPr>
        <w:t>Additional Retained Liabilities: Update retained liabilities per recent events.</w:t>
      </w:r>
    </w:p>
    <w:p>
      <w:pPr>
        <w:pStyle w:val="Body"/>
        <w:tabs>
          <w:tab w:val="left" w:pos="720" w:leader="none"/>
        </w:tabs>
        <w:ind w:start="0" w:end="0"/>
        <w:jc w:val="both"/>
        <w:rPr>
          <w:b/>
        </w:rPr>
      </w:pPr>
      <w:r>
        <w:rPr>
          <w:b/>
        </w:rPr>
      </w:r>
    </w:p>
    <w:p>
      <w:pPr>
        <w:pStyle w:val="Body"/>
        <w:tabs>
          <w:tab w:val="left" w:pos="720" w:leader="none"/>
        </w:tabs>
        <w:ind w:hanging="2160" w:start="2160" w:end="0"/>
        <w:jc w:val="both"/>
        <w:rPr/>
      </w:pPr>
      <w:r>
        <w:rPr/>
        <w:tab/>
        <w:t>Status:</w:t>
        <w:tab/>
        <w:t>Continue to try to resolve construction contract dispute.</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Issues:</w:t>
        <w:tab/>
        <w:t>Need to amend PSA schedule accordingly.</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Actions:</w:t>
        <w:tab/>
        <w:t>Discuss required changes with AEP then (A. Koehler) to amend PSA schedules prior to Close.</w:t>
        <w:tab/>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r>
    </w:p>
    <w:p>
      <w:pPr>
        <w:pStyle w:val="Body"/>
        <w:tabs>
          <w:tab w:val="left" w:pos="720" w:leader="none"/>
        </w:tabs>
        <w:ind w:hanging="2160" w:start="2160" w:end="0"/>
        <w:jc w:val="both"/>
        <w:rPr>
          <w:b/>
        </w:rPr>
      </w:pPr>
      <w:r>
        <w:rPr>
          <w:b/>
        </w:rPr>
        <w:t>13.</w:t>
        <w:tab/>
        <w:t>Resolve Imbalances and Open A/Rs:</w:t>
        <w:tab/>
        <w:t>Need a plan/resources in place to focus on this.</w:t>
      </w:r>
    </w:p>
    <w:p>
      <w:pPr>
        <w:pStyle w:val="Body"/>
        <w:tabs>
          <w:tab w:val="left" w:pos="720" w:leader="none"/>
        </w:tabs>
        <w:ind w:hanging="2160" w:start="2160" w:end="0"/>
        <w:jc w:val="both"/>
        <w:rPr>
          <w:b/>
        </w:rPr>
      </w:pPr>
      <w:r>
        <w:rPr>
          <w:b/>
        </w:rPr>
      </w:r>
    </w:p>
    <w:p>
      <w:pPr>
        <w:pStyle w:val="Body"/>
        <w:tabs>
          <w:tab w:val="left" w:pos="720" w:leader="none"/>
        </w:tabs>
        <w:ind w:hanging="2160" w:start="2160" w:end="0"/>
        <w:jc w:val="both"/>
        <w:rPr/>
      </w:pPr>
      <w:r>
        <w:rPr/>
        <w:tab/>
        <w:t>Status:</w:t>
        <w:tab/>
        <w:t>Imbalances have been identified – reconciliation process ongoing</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Issues:</w:t>
        <w:tab/>
        <w:t>We are short on the dedicated staff who was working on this previously</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Actions:</w:t>
        <w:tab/>
        <w:t>B. Hall, S. Beck identify/assign resources to begin working on this activity prior to Close.</w:t>
        <w:tab/>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r>
    </w:p>
    <w:p>
      <w:pPr>
        <w:pStyle w:val="Body"/>
        <w:tabs>
          <w:tab w:val="left" w:pos="720" w:leader="none"/>
        </w:tabs>
        <w:ind w:hanging="2160" w:start="2160" w:end="0"/>
        <w:jc w:val="both"/>
        <w:rPr>
          <w:b/>
        </w:rPr>
      </w:pPr>
      <w:r>
        <w:rPr>
          <w:b/>
        </w:rPr>
        <w:t>14.</w:t>
        <w:tab/>
        <w:t>Onwind Monetizations: Need lenders to accept Enron note in order to avoid significant breakage costs.</w:t>
      </w:r>
    </w:p>
    <w:p>
      <w:pPr>
        <w:pStyle w:val="Body"/>
        <w:tabs>
          <w:tab w:val="left" w:pos="720" w:leader="none"/>
        </w:tabs>
        <w:ind w:hanging="2160" w:start="2160" w:end="0"/>
        <w:jc w:val="both"/>
        <w:rPr>
          <w:b/>
        </w:rPr>
      </w:pPr>
      <w:r>
        <w:rPr>
          <w:b/>
        </w:rPr>
      </w:r>
    </w:p>
    <w:p>
      <w:pPr>
        <w:pStyle w:val="Body"/>
        <w:tabs>
          <w:tab w:val="left" w:pos="720" w:leader="none"/>
        </w:tabs>
        <w:ind w:hanging="2160" w:start="2160" w:end="0"/>
        <w:jc w:val="both"/>
        <w:rPr/>
      </w:pPr>
      <w:r>
        <w:rPr/>
        <w:tab/>
        <w:t>Status:</w:t>
        <w:tab/>
        <w:t>Discussions ongoing with lenders (Prudential and Hancock).</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Issues:</w:t>
        <w:tab/>
        <w:t>Formal approval from lenders still pending – breakage fee is significant $22MM</w:t>
      </w:r>
    </w:p>
    <w:p>
      <w:pPr>
        <w:pStyle w:val="Body"/>
        <w:tabs>
          <w:tab w:val="left" w:pos="720" w:leader="none"/>
        </w:tabs>
        <w:ind w:hanging="2160" w:start="2160" w:end="0"/>
        <w:jc w:val="both"/>
        <w:rPr/>
      </w:pPr>
      <w:r>
        <w:rPr/>
      </w:r>
    </w:p>
    <w:p>
      <w:pPr>
        <w:pStyle w:val="Body"/>
        <w:tabs>
          <w:tab w:val="left" w:pos="720" w:leader="none"/>
        </w:tabs>
        <w:ind w:hanging="2160" w:start="2160" w:end="0"/>
        <w:jc w:val="both"/>
        <w:rPr/>
      </w:pPr>
      <w:r>
        <w:rPr/>
        <w:tab/>
        <w:t>Actions:</w:t>
        <w:tab/>
        <w:t>R. Dutt continuing to get initial response from lenders this week.</w:t>
        <w:tab/>
      </w:r>
    </w:p>
    <w:p>
      <w:pPr>
        <w:pStyle w:val="Body"/>
        <w:tabs>
          <w:tab w:val="left" w:pos="720" w:leader="none"/>
        </w:tabs>
        <w:ind w:hanging="2160" w:start="216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432"/>
        </w:tabs>
        <w:ind w:start="432" w:hanging="360"/>
      </w:pPr>
      <w:rPr>
        <w:b/>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2001-03-27T17:09:00Z</dcterms:created>
  <dc:creator>bredmon</dc:creator>
  <dc:description/>
  <dc:language>en-CA</dc:language>
  <cp:lastModifiedBy>bredmon</cp:lastModifiedBy>
  <cp:lastPrinted>2001-03-29T13:28:00Z</cp:lastPrinted>
  <dcterms:modified xsi:type="dcterms:W3CDTF">2001-03-29T16:58:00Z</dcterms:modified>
  <cp:revision>4</cp:revision>
  <dc:subject/>
  <dc:title>Better, Faster, Simpler Memo </dc:title>
</cp:coreProperties>
</file>