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Distribution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Brian Redmond</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ENA</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Subject"/>
            <w:bookmarkEnd w:id="2"/>
            <w:r>
              <w:rPr/>
              <w:t>Status of HPL Transition</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3" w:name="StartOfMemo"/>
      <w:bookmarkStart w:id="4" w:name="StartOfMemo"/>
      <w:bookmarkEnd w:id="4"/>
    </w:p>
    <w:p>
      <w:pPr>
        <w:pStyle w:val="Body"/>
        <w:rPr/>
      </w:pPr>
      <w:r>
        <w:rPr/>
      </w:r>
    </w:p>
    <w:p>
      <w:pPr>
        <w:pStyle w:val="Body"/>
        <w:rPr>
          <w:b/>
        </w:rPr>
      </w:pPr>
      <w:r>
        <w:rPr>
          <w:b/>
        </w:rPr>
        <w:t>The following provides an update as to the critical path items to Close the HPL transaction.</w:t>
      </w:r>
    </w:p>
    <w:p>
      <w:pPr>
        <w:pStyle w:val="Body"/>
        <w:rPr>
          <w:b/>
          <w:u w:val="single"/>
        </w:rPr>
      </w:pPr>
      <w:r>
        <w:rPr>
          <w:b/>
        </w:rPr>
        <w:t>Current Plan: 1 May 2001</w:t>
      </w:r>
    </w:p>
    <w:p>
      <w:pPr>
        <w:pStyle w:val="Body"/>
        <w:rPr>
          <w:b/>
          <w:u w:val="single"/>
        </w:rPr>
      </w:pPr>
      <w:r>
        <w:rPr>
          <w:b/>
          <w:u w:val="single"/>
        </w:rPr>
      </w:r>
    </w:p>
    <w:p>
      <w:pPr>
        <w:pStyle w:val="Body"/>
        <w:rPr>
          <w:b/>
        </w:rPr>
      </w:pPr>
      <w:r>
        <w:rPr>
          <w:b/>
        </w:rPr>
      </w:r>
    </w:p>
    <w:p>
      <w:pPr>
        <w:pStyle w:val="Body"/>
        <w:numPr>
          <w:ilvl w:val="0"/>
          <w:numId w:val="3"/>
        </w:numPr>
        <w:rPr>
          <w:b/>
        </w:rPr>
      </w:pPr>
      <w:r>
        <w:rPr>
          <w:b/>
        </w:rPr>
        <w:t>Hart Scott Rodino:  (R. Shapiro, M. Haedicke, A. Koehler, A. Ballard): Critical path is responding to potential 2</w:t>
      </w:r>
      <w:r>
        <w:rPr>
          <w:b/>
          <w:vertAlign w:val="superscript"/>
        </w:rPr>
        <w:t>nd</w:t>
      </w:r>
      <w:r>
        <w:rPr>
          <w:b/>
        </w:rPr>
        <w:t xml:space="preserve"> info request from agency.</w:t>
      </w:r>
    </w:p>
    <w:p>
      <w:pPr>
        <w:pStyle w:val="Body"/>
        <w:rPr>
          <w:b/>
        </w:rPr>
      </w:pPr>
      <w:r>
        <w:rPr>
          <w:b/>
        </w:rPr>
      </w:r>
    </w:p>
    <w:p>
      <w:pPr>
        <w:pStyle w:val="Body"/>
        <w:ind w:hanging="1443" w:start="2160" w:end="0"/>
        <w:jc w:val="both"/>
        <w:rPr/>
      </w:pPr>
      <w:r>
        <w:rPr/>
        <w:t>Status:</w:t>
        <w:tab/>
        <w:t>Dept of Justice will take jurisdiction over our application and has issued a second request to both Enron and AEP.  DoJ has agreed to narrow the scope of inquiry for both companies.</w:t>
      </w:r>
    </w:p>
    <w:p>
      <w:pPr>
        <w:pStyle w:val="Body"/>
        <w:ind w:hanging="1443" w:start="2160" w:end="0"/>
        <w:jc w:val="both"/>
        <w:rPr/>
      </w:pPr>
      <w:r>
        <w:rPr/>
      </w:r>
    </w:p>
    <w:p>
      <w:pPr>
        <w:pStyle w:val="Body"/>
        <w:ind w:hanging="1443" w:start="2160" w:end="0"/>
        <w:jc w:val="both"/>
        <w:rPr/>
      </w:pPr>
      <w:r>
        <w:rPr/>
        <w:t>Issues:</w:t>
        <w:tab/>
        <w:t>We need to move quickly to revise the scope of inquiry and agree it in writing with DoJ.</w:t>
      </w:r>
    </w:p>
    <w:p>
      <w:pPr>
        <w:pStyle w:val="Body"/>
        <w:ind w:hanging="1443" w:start="2160" w:end="0"/>
        <w:jc w:val="both"/>
        <w:rPr/>
      </w:pPr>
      <w:r>
        <w:rPr/>
      </w:r>
    </w:p>
    <w:p>
      <w:pPr>
        <w:pStyle w:val="Body"/>
        <w:ind w:hanging="1443" w:start="2160" w:end="0"/>
        <w:jc w:val="both"/>
        <w:rPr/>
      </w:pPr>
      <w:r>
        <w:rPr/>
        <w:t>Actions:</w:t>
        <w:tab/>
        <w:t>A. Ballard/B. Gray and local counsel have proposed a revised scope to DoJ.  DoJ to review and respond.  L. Leibman/Rick Shapiro to work behind the scenes with contacts at DoJ to address and issues.  Develop assignment list for Enron employees with respect to requested information.</w:t>
      </w:r>
    </w:p>
    <w:p>
      <w:pPr>
        <w:pStyle w:val="Body"/>
        <w:ind w:hanging="723" w:start="1440" w:end="0"/>
        <w:rPr/>
      </w:pPr>
      <w:r>
        <w:rPr/>
      </w:r>
    </w:p>
    <w:p>
      <w:pPr>
        <w:pStyle w:val="Body"/>
        <w:ind w:hanging="723" w:start="1440" w:end="0"/>
        <w:rPr>
          <w:b/>
        </w:rPr>
      </w:pPr>
      <w:r>
        <w:rPr>
          <w:rFonts w:eastAsia="Arial"/>
        </w:rPr>
        <w:t xml:space="preserve">     </w:t>
      </w:r>
    </w:p>
    <w:p>
      <w:pPr>
        <w:pStyle w:val="Body"/>
        <w:ind w:hanging="648" w:start="720" w:end="0"/>
        <w:rPr/>
      </w:pPr>
      <w:r>
        <w:rPr>
          <w:b/>
        </w:rPr>
        <w:t>2.</w:t>
        <w:tab/>
        <w:t>Texas Attorney General:  (A. Ballard, B. Gray, J. Allen, T. Shelton):  Critical path is to show that AEP will not favor their power plants over other 3</w:t>
      </w:r>
      <w:r>
        <w:rPr>
          <w:b/>
          <w:vertAlign w:val="superscript"/>
        </w:rPr>
        <w:t>rd</w:t>
      </w:r>
      <w:r>
        <w:rPr>
          <w:b/>
        </w:rPr>
        <w:t xml:space="preserve"> party customers.</w:t>
      </w:r>
    </w:p>
    <w:p>
      <w:pPr>
        <w:pStyle w:val="Body"/>
        <w:rPr>
          <w:b/>
        </w:rPr>
      </w:pPr>
      <w:r>
        <w:rPr>
          <w:b/>
        </w:rPr>
      </w:r>
    </w:p>
    <w:p>
      <w:pPr>
        <w:pStyle w:val="Body"/>
        <w:ind w:hanging="1443" w:start="2160" w:end="0"/>
        <w:jc w:val="both"/>
        <w:rPr/>
      </w:pPr>
      <w:r>
        <w:rPr/>
        <w:t>Status:</w:t>
        <w:tab/>
        <w:t>AEP/Enron made a presentation to the Texas AG office on 27 February to address their concerns.  They will follow along behind DoJ and monitor the discussions.</w:t>
      </w:r>
    </w:p>
    <w:p>
      <w:pPr>
        <w:pStyle w:val="Body"/>
        <w:ind w:hanging="1443" w:start="2160" w:end="0"/>
        <w:jc w:val="both"/>
        <w:rPr/>
      </w:pPr>
      <w:r>
        <w:rPr/>
      </w:r>
    </w:p>
    <w:p>
      <w:pPr>
        <w:pStyle w:val="Body"/>
        <w:ind w:hanging="1443" w:start="2160" w:end="0"/>
        <w:jc w:val="both"/>
        <w:rPr/>
      </w:pPr>
      <w:r>
        <w:rPr/>
        <w:t>Issues:</w:t>
        <w:tab/>
        <w:t>Ensure Texas AG will not interject other issues/questions into the DoJ process.</w:t>
      </w:r>
    </w:p>
    <w:p>
      <w:pPr>
        <w:pStyle w:val="Body"/>
        <w:ind w:hanging="1443" w:start="2160" w:end="0"/>
        <w:jc w:val="both"/>
        <w:rPr/>
      </w:pPr>
      <w:r>
        <w:rPr/>
      </w:r>
    </w:p>
    <w:p>
      <w:pPr>
        <w:pStyle w:val="Body"/>
        <w:ind w:hanging="1443" w:start="2160" w:end="0"/>
        <w:jc w:val="both"/>
        <w:rPr/>
      </w:pPr>
      <w:r>
        <w:rPr/>
        <w:t>Actions:</w:t>
        <w:tab/>
        <w:t>Keep Texas AG office informed once we have agreed the limited DoJ scope of inquiry.</w:t>
      </w:r>
    </w:p>
    <w:p>
      <w:pPr>
        <w:pStyle w:val="Body"/>
        <w:ind w:hanging="1443" w:start="2160" w:end="0"/>
        <w:jc w:val="both"/>
        <w:rPr/>
      </w:pPr>
      <w:r>
        <w:rPr/>
      </w:r>
    </w:p>
    <w:p>
      <w:pPr>
        <w:pStyle w:val="Body"/>
        <w:ind w:hanging="1443" w:start="2160" w:end="0"/>
        <w:jc w:val="both"/>
        <w:rPr/>
      </w:pPr>
      <w:r>
        <w:rPr/>
      </w:r>
    </w:p>
    <w:p>
      <w:pPr>
        <w:pStyle w:val="Body"/>
        <w:rPr>
          <w:b/>
        </w:rPr>
      </w:pPr>
      <w:r>
        <w:rPr>
          <w:b/>
        </w:rPr>
        <w:t>3.</w:t>
        <w:tab/>
        <w:t>A/S Line Repair: (S. Schneider/Ken Kaase):  Critical path is time required to process smart pig data.</w:t>
      </w:r>
    </w:p>
    <w:p>
      <w:pPr>
        <w:pStyle w:val="Body"/>
        <w:rPr>
          <w:b/>
        </w:rPr>
      </w:pPr>
      <w:r>
        <w:rPr>
          <w:b/>
        </w:rPr>
      </w:r>
    </w:p>
    <w:p>
      <w:pPr>
        <w:pStyle w:val="Body"/>
        <w:ind w:hanging="1443" w:start="2160" w:end="0"/>
        <w:jc w:val="both"/>
        <w:rPr/>
      </w:pPr>
      <w:r>
        <w:rPr/>
        <w:t>Status:</w:t>
        <w:tab/>
        <w:t xml:space="preserve">Shut down, installation of required valves, and smart pigging operation is scheduled for 23 March.   We have selected a pigging contractor who is willing to provide an initial report in 15 days and a final report by 1 May.  This will give us a good indication of the extent of the required A/S line repair by early May. </w:t>
      </w:r>
    </w:p>
    <w:p>
      <w:pPr>
        <w:pStyle w:val="Body"/>
        <w:ind w:hanging="1443" w:start="2160" w:end="0"/>
        <w:jc w:val="both"/>
        <w:rPr/>
      </w:pPr>
      <w:r>
        <w:rPr/>
      </w:r>
    </w:p>
    <w:p>
      <w:pPr>
        <w:pStyle w:val="Body"/>
        <w:ind w:hanging="1443" w:start="2160" w:end="0"/>
        <w:jc w:val="both"/>
        <w:rPr/>
      </w:pPr>
      <w:r>
        <w:rPr/>
        <w:t>Issues:</w:t>
        <w:tab/>
        <w:t>Extra cost of expediting the data interpretation is $80K.  We need to ensure the contract language gives the contractor the proper incentive to act quickly and carefully.  If we are to Close in May we need to pre-agree a risk sharing proposal with AEP.</w:t>
      </w:r>
    </w:p>
    <w:p>
      <w:pPr>
        <w:pStyle w:val="Body"/>
        <w:ind w:hanging="1443" w:start="2160" w:end="0"/>
        <w:jc w:val="both"/>
        <w:rPr/>
      </w:pPr>
      <w:r>
        <w:rPr/>
      </w:r>
    </w:p>
    <w:p>
      <w:pPr>
        <w:pStyle w:val="Body"/>
        <w:ind w:hanging="1443" w:start="2160" w:end="0"/>
        <w:jc w:val="both"/>
        <w:rPr/>
      </w:pPr>
      <w:r>
        <w:rPr/>
        <w:t>Actions:</w:t>
        <w:tab/>
        <w:t>Internal review of proposal for risk sharing between Enron and AEP that would enable us to close the transaction (April/May) ahead of having the A/S line fully evaluated per Texas RR Commission requirements.</w:t>
      </w:r>
    </w:p>
    <w:p>
      <w:pPr>
        <w:pStyle w:val="Body"/>
        <w:rPr>
          <w:b/>
        </w:rPr>
      </w:pPr>
      <w:r>
        <w:rPr>
          <w:b/>
        </w:rPr>
      </w:r>
    </w:p>
    <w:p>
      <w:pPr>
        <w:pStyle w:val="Body"/>
        <w:rPr>
          <w:b/>
        </w:rPr>
      </w:pPr>
      <w:r>
        <w:rPr>
          <w:b/>
        </w:rPr>
      </w:r>
    </w:p>
    <w:p>
      <w:pPr>
        <w:pStyle w:val="Body"/>
        <w:rPr>
          <w:b/>
        </w:rPr>
      </w:pPr>
      <w:r>
        <w:rPr>
          <w:b/>
        </w:rPr>
      </w:r>
    </w:p>
    <w:p>
      <w:pPr>
        <w:pStyle w:val="Body"/>
        <w:rPr>
          <w:b/>
        </w:rPr>
      </w:pPr>
      <w:r>
        <w:rPr>
          <w:b/>
        </w:rPr>
      </w:r>
    </w:p>
    <w:p>
      <w:pPr>
        <w:pStyle w:val="Body"/>
        <w:rPr>
          <w:b/>
        </w:rPr>
      </w:pPr>
      <w:r>
        <w:rPr>
          <w:b/>
        </w:rPr>
      </w:r>
    </w:p>
    <w:p>
      <w:pPr>
        <w:pStyle w:val="Body"/>
        <w:rPr>
          <w:b/>
        </w:rPr>
      </w:pPr>
      <w:r>
        <w:rPr>
          <w:b/>
        </w:rPr>
        <w:t>3.</w:t>
        <w:tab/>
        <w:t>IT Systems: (P. Bibi, T. Yanowski): Critical path is the installation of the T1 phone lines to serve AEP</w:t>
      </w:r>
    </w:p>
    <w:p>
      <w:pPr>
        <w:pStyle w:val="Body"/>
        <w:rPr/>
      </w:pPr>
      <w:r>
        <w:rPr/>
        <w:tab/>
        <w:tab/>
        <w:tab/>
        <w:tab/>
        <w:tab/>
        <w:tab/>
      </w:r>
    </w:p>
    <w:p>
      <w:pPr>
        <w:pStyle w:val="Body"/>
        <w:ind w:hanging="1443" w:start="2160" w:end="0"/>
        <w:jc w:val="both"/>
        <w:rPr/>
      </w:pPr>
      <w:r>
        <w:rPr/>
        <w:t>Status:</w:t>
        <w:tab/>
        <w:t>AEP has been delayed in securing a lease for HPL operations.  Discussions are ongoing to define system interfaces – critical path item is to install T1 line at AEP’s new offices.   We are planning for a 1 May system test to test the functionality with HPL systems/resources in their new location.</w:t>
      </w:r>
    </w:p>
    <w:p>
      <w:pPr>
        <w:pStyle w:val="Body"/>
        <w:ind w:hanging="1443" w:start="2160" w:end="0"/>
        <w:jc w:val="both"/>
        <w:rPr/>
      </w:pPr>
      <w:r>
        <w:rPr/>
      </w:r>
    </w:p>
    <w:p>
      <w:pPr>
        <w:pStyle w:val="Body"/>
        <w:ind w:hanging="1443" w:start="2160" w:end="0"/>
        <w:jc w:val="both"/>
        <w:rPr/>
      </w:pPr>
      <w:r>
        <w:rPr/>
        <w:t>Issues:</w:t>
        <w:tab/>
        <w:t xml:space="preserve">We need to clearly define system interfaces and our delivery requirements so that AEP cannot delay the Closing Date due to AEP’s failure to develop their internal systems capability and install their facilities. </w:t>
      </w:r>
    </w:p>
    <w:p>
      <w:pPr>
        <w:pStyle w:val="Body"/>
        <w:ind w:hanging="1443" w:start="2160" w:end="0"/>
        <w:jc w:val="both"/>
        <w:rPr/>
      </w:pPr>
      <w:r>
        <w:rPr/>
      </w:r>
    </w:p>
    <w:p>
      <w:pPr>
        <w:pStyle w:val="Body"/>
        <w:ind w:hanging="1443" w:start="2160" w:end="0"/>
        <w:jc w:val="both"/>
        <w:rPr/>
      </w:pPr>
      <w:r>
        <w:rPr/>
        <w:t>Actions:</w:t>
        <w:tab/>
        <w:t>Continue to define a systems protocol/plan with AEP to clearly define Enron actions required to satisfy condition precedent to close.  Investigate using the T1 line between EOL and AEP to support HPL operations.  P. Bibi to try to expedite delivery of T1 service to new AEP facility. Consider ways to house HPL staff on the 35</w:t>
      </w:r>
      <w:r>
        <w:rPr>
          <w:vertAlign w:val="superscript"/>
        </w:rPr>
        <w:t>th</w:t>
      </w:r>
      <w:r>
        <w:rPr/>
        <w:t xml:space="preserve"> floor or in 3 Allen Center if Closing is delayed due to IT systems.</w:t>
      </w:r>
    </w:p>
    <w:p>
      <w:pPr>
        <w:pStyle w:val="Body"/>
        <w:ind w:hanging="1443" w:start="2160" w:end="0"/>
        <w:jc w:val="both"/>
        <w:rPr/>
      </w:pPr>
      <w:r>
        <w:rPr/>
      </w:r>
    </w:p>
    <w:p>
      <w:pPr>
        <w:pStyle w:val="Body"/>
        <w:rPr>
          <w:b/>
        </w:rPr>
      </w:pPr>
      <w:r>
        <w:rPr>
          <w:b/>
        </w:rPr>
      </w:r>
    </w:p>
    <w:p>
      <w:pPr>
        <w:pStyle w:val="Body"/>
        <w:numPr>
          <w:ilvl w:val="0"/>
          <w:numId w:val="2"/>
        </w:numPr>
        <w:ind w:hanging="648" w:start="720" w:end="0"/>
        <w:rPr/>
      </w:pPr>
      <w:r>
        <w:rPr>
          <w:b/>
        </w:rPr>
        <w:t>Bammel Cushion Gas Reclass:  (W. Colwell, T. Martin, P. Wade):  Replacement of 5 bcf of Bammel cushion gas sold forward.</w:t>
      </w:r>
    </w:p>
    <w:p>
      <w:pPr>
        <w:pStyle w:val="Body"/>
        <w:ind w:hanging="1443" w:start="2160" w:end="0"/>
        <w:jc w:val="both"/>
        <w:rPr/>
      </w:pPr>
      <w:r>
        <w:rPr/>
      </w:r>
    </w:p>
    <w:p>
      <w:pPr>
        <w:pStyle w:val="Body"/>
        <w:ind w:hanging="1443" w:start="2160" w:end="0"/>
        <w:jc w:val="both"/>
        <w:rPr/>
      </w:pPr>
      <w:r>
        <w:rPr/>
        <w:t>Status:</w:t>
        <w:tab/>
        <w:t>Warm weather will lead to more than 65 bcf being in Bammel on the Closing Date.  Working gas in excess of 65bcf will be sold to AEP at the July HSC Index.</w:t>
      </w:r>
    </w:p>
    <w:p>
      <w:pPr>
        <w:pStyle w:val="Body"/>
        <w:ind w:hanging="1443" w:start="2160" w:end="0"/>
        <w:jc w:val="both"/>
        <w:rPr/>
      </w:pPr>
      <w:r>
        <w:rPr/>
      </w:r>
    </w:p>
    <w:p>
      <w:pPr>
        <w:pStyle w:val="Body"/>
        <w:ind w:hanging="1443" w:start="2160" w:end="0"/>
        <w:jc w:val="both"/>
        <w:rPr/>
      </w:pPr>
      <w:r>
        <w:rPr/>
        <w:t>Issues:</w:t>
        <w:tab/>
        <w:t xml:space="preserve">The 5bcf of Cushion Gas sold forward (60bcf to 65bcf) will be included in the PRM assets and written off over 8 years.  </w:t>
      </w:r>
    </w:p>
    <w:p>
      <w:pPr>
        <w:pStyle w:val="Body"/>
        <w:ind w:hanging="1443" w:start="2160" w:end="0"/>
        <w:jc w:val="both"/>
        <w:rPr/>
      </w:pPr>
      <w:r>
        <w:rPr/>
      </w:r>
    </w:p>
    <w:p>
      <w:pPr>
        <w:pStyle w:val="Body"/>
        <w:ind w:hanging="1443" w:start="2160" w:end="0"/>
        <w:jc w:val="both"/>
        <w:rPr/>
      </w:pPr>
      <w:r>
        <w:rPr/>
        <w:t>Actions:</w:t>
        <w:tab/>
        <w:t>Make necessary accounting entries.  Generate cashflow to pay for the 5bcf of Cushion Gas and call option by re-financing the Cushion Gas monetization at a higher basis.</w:t>
      </w:r>
    </w:p>
    <w:p>
      <w:pPr>
        <w:pStyle w:val="Body"/>
        <w:ind w:start="0" w:end="0"/>
        <w:rPr/>
      </w:pPr>
      <w:r>
        <w:rPr/>
      </w:r>
    </w:p>
    <w:p>
      <w:pPr>
        <w:pStyle w:val="Body"/>
        <w:rPr>
          <w:b/>
        </w:rPr>
      </w:pPr>
      <w:r>
        <w:rPr>
          <w:b/>
        </w:rPr>
      </w:r>
    </w:p>
    <w:p>
      <w:pPr>
        <w:pStyle w:val="Body"/>
        <w:numPr>
          <w:ilvl w:val="0"/>
          <w:numId w:val="2"/>
        </w:numPr>
        <w:ind w:hanging="648" w:start="720" w:end="0"/>
        <w:rPr/>
      </w:pPr>
      <w:r>
        <w:rPr>
          <w:b/>
        </w:rPr>
        <w:t>Unwind of PRM Books:  (T. Despain, T. Rohauer, P. Wade): Need to stop roll up of drift and put in place credit structure for swaps.</w:t>
      </w:r>
    </w:p>
    <w:p>
      <w:pPr>
        <w:pStyle w:val="Body"/>
        <w:ind w:hanging="1443" w:start="2160" w:end="0"/>
        <w:jc w:val="both"/>
        <w:rPr/>
      </w:pPr>
      <w:r>
        <w:rPr/>
      </w:r>
    </w:p>
    <w:p>
      <w:pPr>
        <w:pStyle w:val="Body"/>
        <w:ind w:hanging="1443" w:start="2160" w:end="0"/>
        <w:jc w:val="both"/>
        <w:rPr/>
      </w:pPr>
      <w:r>
        <w:rPr/>
        <w:t>Status:</w:t>
        <w:tab/>
        <w:t>Simulation of unwind of Enron books completed.  We have unwound the 4 largest deals in the book to stop the increase in drift due to interest rate movement.</w:t>
      </w:r>
    </w:p>
    <w:p>
      <w:pPr>
        <w:pStyle w:val="Body"/>
        <w:ind w:hanging="1443" w:start="2160" w:end="0"/>
        <w:jc w:val="both"/>
        <w:rPr/>
      </w:pPr>
      <w:r>
        <w:rPr/>
      </w:r>
    </w:p>
    <w:p>
      <w:pPr>
        <w:pStyle w:val="Body"/>
        <w:ind w:hanging="1443" w:start="2160" w:end="0"/>
        <w:jc w:val="both"/>
        <w:rPr/>
      </w:pPr>
      <w:r>
        <w:rPr/>
        <w:t>Issues:</w:t>
        <w:tab/>
        <w:t>We need to include under the AEP/Enron ISDA the swaps we are putting in place with AEP for the HPL fixed price deals.  However, we want to exclude these swaps from the collateral requirements of the ISDA.</w:t>
      </w:r>
    </w:p>
    <w:p>
      <w:pPr>
        <w:pStyle w:val="Body"/>
        <w:ind w:hanging="1443" w:start="2160" w:end="0"/>
        <w:jc w:val="both"/>
        <w:rPr/>
      </w:pPr>
      <w:r>
        <w:rPr/>
      </w:r>
    </w:p>
    <w:p>
      <w:pPr>
        <w:pStyle w:val="Body"/>
        <w:ind w:hanging="1443" w:start="2160" w:end="0"/>
        <w:jc w:val="both"/>
        <w:rPr/>
      </w:pPr>
      <w:r>
        <w:rPr/>
        <w:t>Actions:</w:t>
        <w:tab/>
        <w:t>Conversations ongoing between Enron Credit and AEP Credit on ISDA Guarantee.</w:t>
      </w:r>
    </w:p>
    <w:p>
      <w:pPr>
        <w:pStyle w:val="Body"/>
        <w:ind w:start="0" w:end="0"/>
        <w:rPr>
          <w:b/>
        </w:rPr>
      </w:pPr>
      <w:r>
        <w:rPr>
          <w:b/>
        </w:rPr>
      </w:r>
    </w:p>
    <w:p>
      <w:pPr>
        <w:pStyle w:val="Body"/>
        <w:ind w:start="0" w:end="0"/>
        <w:rPr>
          <w:b/>
        </w:rPr>
      </w:pPr>
      <w:r>
        <w:rPr>
          <w:b/>
        </w:rPr>
      </w:r>
    </w:p>
    <w:p>
      <w:pPr>
        <w:pStyle w:val="Body"/>
        <w:numPr>
          <w:ilvl w:val="0"/>
          <w:numId w:val="2"/>
        </w:numPr>
        <w:ind w:hanging="648" w:start="720" w:end="0"/>
        <w:rPr>
          <w:b/>
        </w:rPr>
      </w:pPr>
      <w:r>
        <w:rPr>
          <w:b/>
        </w:rPr>
        <w:t xml:space="preserve">HR Issues: (D. Oxley, M. Cash, F. Mayes): Motivate employees to continue working for the best interest of Enron through the Closing Date. </w:t>
      </w:r>
    </w:p>
    <w:p>
      <w:pPr>
        <w:pStyle w:val="Body"/>
        <w:ind w:start="0" w:end="0"/>
        <w:rPr>
          <w:b/>
        </w:rPr>
      </w:pPr>
      <w:r>
        <w:rPr>
          <w:b/>
        </w:rPr>
      </w:r>
    </w:p>
    <w:p>
      <w:pPr>
        <w:pStyle w:val="Body"/>
        <w:ind w:hanging="1443" w:start="2160" w:end="0"/>
        <w:jc w:val="both"/>
        <w:rPr/>
      </w:pPr>
      <w:r>
        <w:rPr/>
        <w:t>Status:</w:t>
        <w:tab/>
        <w:t xml:space="preserve">AEP has issued transfer letters to HPL employees – an informal deadline has been set for responses this Friday.  </w:t>
      </w:r>
    </w:p>
    <w:p>
      <w:pPr>
        <w:pStyle w:val="Body"/>
        <w:ind w:hanging="1443" w:start="2160" w:end="0"/>
        <w:jc w:val="both"/>
        <w:rPr/>
      </w:pPr>
      <w:r>
        <w:rPr/>
      </w:r>
    </w:p>
    <w:p>
      <w:pPr>
        <w:pStyle w:val="Body"/>
        <w:ind w:hanging="1443" w:start="2160" w:end="0"/>
        <w:jc w:val="both"/>
        <w:rPr/>
      </w:pPr>
      <w:r>
        <w:rPr/>
        <w:t>Issues:</w:t>
        <w:tab/>
        <w:t>As employees agree to work with AEP, we need to prevent them from trying to recruit other Enron people to join AEP after Closing.</w:t>
      </w:r>
    </w:p>
    <w:p>
      <w:pPr>
        <w:pStyle w:val="Body"/>
        <w:ind w:hanging="1443" w:start="2160" w:end="0"/>
        <w:jc w:val="both"/>
        <w:rPr/>
      </w:pPr>
      <w:r>
        <w:rPr/>
      </w:r>
    </w:p>
    <w:p>
      <w:pPr>
        <w:pStyle w:val="Body"/>
        <w:ind w:hanging="1443" w:start="2160" w:end="0"/>
        <w:jc w:val="both"/>
        <w:rPr/>
      </w:pPr>
      <w:r>
        <w:rPr/>
        <w:t>Actions:</w:t>
        <w:tab/>
        <w:t xml:space="preserve">Q&amp;A to be issued today to address employee solicitation issue - AEP had to sign off on benefit statements.  Discussion held with AEP commercial staff and general counsel to halt AEP hiring HPL/ENA people pre-Close. </w:t>
      </w:r>
    </w:p>
    <w:p>
      <w:pPr>
        <w:pStyle w:val="Body"/>
        <w:ind w:start="0" w:end="0"/>
        <w:rPr/>
      </w:pPr>
      <w:r>
        <w:rPr/>
      </w:r>
    </w:p>
    <w:p>
      <w:pPr>
        <w:pStyle w:val="Body"/>
        <w:ind w:start="0" w:end="0"/>
        <w:rPr>
          <w:b/>
        </w:rPr>
      </w:pPr>
      <w:r>
        <w:rPr>
          <w:b/>
        </w:rPr>
      </w:r>
    </w:p>
    <w:p>
      <w:pPr>
        <w:pStyle w:val="Body"/>
        <w:numPr>
          <w:ilvl w:val="0"/>
          <w:numId w:val="2"/>
        </w:numPr>
        <w:ind w:hanging="648" w:start="720" w:end="0"/>
        <w:rPr>
          <w:b/>
        </w:rPr>
      </w:pPr>
      <w:r>
        <w:rPr>
          <w:b/>
        </w:rPr>
        <w:t xml:space="preserve">Unwind of Monetizations: (J. Deffner, R. Dutt): Critical path is finalizing documentation with monetization lenders. </w:t>
      </w:r>
    </w:p>
    <w:p>
      <w:pPr>
        <w:pStyle w:val="Body"/>
        <w:ind w:start="0" w:end="0"/>
        <w:rPr>
          <w:b/>
        </w:rPr>
      </w:pPr>
      <w:r>
        <w:rPr>
          <w:b/>
        </w:rPr>
      </w:r>
    </w:p>
    <w:p>
      <w:pPr>
        <w:pStyle w:val="Body"/>
        <w:ind w:hanging="1443" w:start="2160" w:end="0"/>
        <w:jc w:val="both"/>
        <w:rPr/>
      </w:pPr>
      <w:r>
        <w:rPr/>
        <w:t>Status:</w:t>
        <w:tab/>
        <w:t>Documents being prepared.  Enron has been meeting with banks and counterparties.</w:t>
      </w:r>
    </w:p>
    <w:p>
      <w:pPr>
        <w:pStyle w:val="Body"/>
        <w:ind w:hanging="1443" w:start="2160" w:end="0"/>
        <w:jc w:val="both"/>
        <w:rPr/>
      </w:pPr>
      <w:r>
        <w:rPr/>
      </w:r>
    </w:p>
    <w:p>
      <w:pPr>
        <w:pStyle w:val="Body"/>
        <w:ind w:hanging="1443" w:start="2160" w:end="0"/>
        <w:jc w:val="both"/>
        <w:rPr/>
      </w:pPr>
      <w:r>
        <w:rPr/>
        <w:t>Issues:</w:t>
        <w:tab/>
        <w:t>Timing for unwinding the monetizations vs. Closing Date.  If we unwind the facilities to soon, we will give up optionality and funds flow if the Closing Date is delayed.</w:t>
      </w:r>
    </w:p>
    <w:p>
      <w:pPr>
        <w:pStyle w:val="Body"/>
        <w:ind w:hanging="1443" w:start="2160" w:end="0"/>
        <w:jc w:val="both"/>
        <w:rPr/>
      </w:pPr>
      <w:r>
        <w:rPr/>
      </w:r>
    </w:p>
    <w:p>
      <w:pPr>
        <w:pStyle w:val="Body"/>
        <w:ind w:hanging="1443" w:start="2160" w:end="0"/>
        <w:jc w:val="both"/>
        <w:rPr/>
      </w:pPr>
      <w:r>
        <w:rPr/>
        <w:t>Actions:</w:t>
        <w:tab/>
        <w:t>Target to unwind facilities as soon as we have certainty that we will get HSR approval.</w:t>
      </w:r>
    </w:p>
    <w:p>
      <w:pPr>
        <w:pStyle w:val="Body"/>
        <w:ind w:hanging="1443" w:start="2160" w:end="0"/>
        <w:jc w:val="both"/>
        <w:rPr/>
      </w:pPr>
      <w:r>
        <w:rPr/>
      </w:r>
    </w:p>
    <w:p>
      <w:pPr>
        <w:pStyle w:val="Body"/>
        <w:ind w:hanging="1443" w:start="2160" w:end="0"/>
        <w:jc w:val="both"/>
        <w:rPr>
          <w:b/>
        </w:rPr>
      </w:pPr>
      <w:r>
        <w:rPr>
          <w:b/>
        </w:rPr>
      </w:r>
    </w:p>
    <w:p>
      <w:pPr>
        <w:pStyle w:val="Body"/>
        <w:numPr>
          <w:ilvl w:val="0"/>
          <w:numId w:val="2"/>
        </w:numPr>
        <w:ind w:hanging="648" w:start="720" w:end="0"/>
        <w:rPr>
          <w:b/>
        </w:rPr>
      </w:pPr>
      <w:r>
        <w:rPr>
          <w:b/>
        </w:rPr>
        <w:t>Business Operations Processes: (S. Beck, R. Hall):  Critical path is to develop a protocol with AEP to govern back-office functions before, during, and after the Closing Date</w:t>
      </w:r>
    </w:p>
    <w:p>
      <w:pPr>
        <w:pStyle w:val="Body"/>
        <w:rPr>
          <w:b/>
        </w:rPr>
      </w:pPr>
      <w:r>
        <w:rPr>
          <w:b/>
        </w:rPr>
      </w:r>
    </w:p>
    <w:p>
      <w:pPr>
        <w:pStyle w:val="Body"/>
        <w:ind w:hanging="1443" w:start="2160" w:end="0"/>
        <w:jc w:val="both"/>
        <w:rPr/>
      </w:pPr>
      <w:r>
        <w:rPr/>
        <w:t>Status:</w:t>
        <w:tab/>
        <w:t>General discussions between Enron and AEP need to be clarified and documented to clearly specify who and how business ops functions will be carried out before, during and after the Closing Date.</w:t>
      </w:r>
    </w:p>
    <w:p>
      <w:pPr>
        <w:pStyle w:val="Body"/>
        <w:ind w:hanging="1443" w:start="2160" w:end="0"/>
        <w:jc w:val="both"/>
        <w:rPr/>
      </w:pPr>
      <w:r>
        <w:rPr/>
      </w:r>
    </w:p>
    <w:p>
      <w:pPr>
        <w:pStyle w:val="Body"/>
        <w:ind w:hanging="1443" w:start="2160" w:end="0"/>
        <w:jc w:val="both"/>
        <w:rPr/>
      </w:pPr>
      <w:r>
        <w:rPr/>
        <w:t>Issues:</w:t>
        <w:tab/>
        <w:t>Need to establish how A/P, A/R and imbalance accounts will be settled after Closing Date given that many of the resources who would do this for Enron will be transferred to AEP.  Need to discuss the operation and access to the HPL bank accounts before and after Closing.</w:t>
      </w:r>
    </w:p>
    <w:p>
      <w:pPr>
        <w:pStyle w:val="Body"/>
        <w:ind w:hanging="1443" w:start="2160" w:end="0"/>
        <w:jc w:val="both"/>
        <w:rPr/>
      </w:pPr>
      <w:r>
        <w:rPr/>
      </w:r>
    </w:p>
    <w:p>
      <w:pPr>
        <w:pStyle w:val="Body"/>
        <w:ind w:hanging="1443" w:start="2160" w:end="0"/>
        <w:jc w:val="both"/>
        <w:rPr>
          <w:b/>
        </w:rPr>
      </w:pPr>
      <w:r>
        <w:rPr/>
        <w:t>Actions:</w:t>
        <w:tab/>
        <w:t>B. Hall has proposed a division of responsibilities and ownership/control over accounts with AEP and is continuing to develop a protocol to govern this activity.</w:t>
      </w:r>
    </w:p>
    <w:p>
      <w:pPr>
        <w:pStyle w:val="Body"/>
        <w:rPr>
          <w:b/>
        </w:rPr>
      </w:pPr>
      <w:r>
        <w:rPr>
          <w:b/>
        </w:rPr>
      </w:r>
    </w:p>
    <w:p>
      <w:pPr>
        <w:pStyle w:val="Body"/>
        <w:rPr>
          <w:b/>
        </w:rPr>
      </w:pPr>
      <w:r>
        <w:rPr>
          <w:b/>
        </w:rPr>
      </w:r>
    </w:p>
    <w:p>
      <w:pPr>
        <w:pStyle w:val="Body"/>
        <w:numPr>
          <w:ilvl w:val="0"/>
          <w:numId w:val="2"/>
        </w:numPr>
        <w:ind w:hanging="648" w:start="720" w:end="0"/>
        <w:rPr>
          <w:b/>
        </w:rPr>
      </w:pPr>
      <w:r>
        <w:rPr>
          <w:b/>
        </w:rPr>
        <w:t xml:space="preserve">Books &amp; Records: (A. Koehler, J. Coffey, C. Gilley): Need to separate pre-closing and post-closing information transfer. </w:t>
      </w:r>
    </w:p>
    <w:p>
      <w:pPr>
        <w:pStyle w:val="Body"/>
        <w:ind w:start="0" w:end="0"/>
        <w:rPr>
          <w:b/>
        </w:rPr>
      </w:pPr>
      <w:r>
        <w:rPr>
          <w:b/>
        </w:rPr>
      </w:r>
    </w:p>
    <w:p>
      <w:pPr>
        <w:pStyle w:val="Body"/>
        <w:ind w:hanging="1443" w:start="2160" w:end="0"/>
        <w:jc w:val="both"/>
        <w:rPr/>
      </w:pPr>
      <w:r>
        <w:rPr/>
        <w:t>Status:</w:t>
        <w:tab/>
        <w:t>HPL data inventory has been reviewed. Currently collecting critical information for delivery to AEP at Closing.  We are discussing with AEP how to treat non-critical Books and Records after Closing.</w:t>
      </w:r>
    </w:p>
    <w:p>
      <w:pPr>
        <w:pStyle w:val="Body"/>
        <w:ind w:hanging="1443" w:start="2160" w:end="0"/>
        <w:jc w:val="both"/>
        <w:rPr/>
      </w:pPr>
      <w:r>
        <w:rPr/>
      </w:r>
    </w:p>
    <w:p>
      <w:pPr>
        <w:pStyle w:val="Body"/>
        <w:ind w:hanging="1443" w:start="2160" w:end="0"/>
        <w:jc w:val="both"/>
        <w:rPr/>
      </w:pPr>
      <w:r>
        <w:rPr/>
        <w:t>Issues:</w:t>
        <w:tab/>
        <w:t>Option 1: Destroy what we can, Enron retains and gives AEP access to non-critical information on an as-needed basis (AEP indemnifies us from any liability).</w:t>
      </w:r>
    </w:p>
    <w:p>
      <w:pPr>
        <w:pStyle w:val="Body"/>
        <w:ind w:hanging="1443" w:start="2160" w:end="0"/>
        <w:jc w:val="both"/>
        <w:rPr/>
      </w:pPr>
      <w:r>
        <w:rPr/>
        <w:tab/>
        <w:t>Option 2: Destroy what we can, Enron reviews information now (significant cost) and transfers the information to AEP soon after Closing.</w:t>
      </w:r>
    </w:p>
    <w:p>
      <w:pPr>
        <w:pStyle w:val="Body"/>
        <w:ind w:hanging="1443" w:start="2160" w:end="0"/>
        <w:jc w:val="both"/>
        <w:rPr/>
      </w:pPr>
      <w:r>
        <w:rPr/>
      </w:r>
    </w:p>
    <w:p>
      <w:pPr>
        <w:pStyle w:val="Body"/>
        <w:ind w:hanging="1443" w:start="2160" w:end="0"/>
        <w:jc w:val="both"/>
        <w:rPr/>
      </w:pPr>
      <w:r>
        <w:rPr/>
        <w:t>Actions:</w:t>
        <w:tab/>
        <w:t>We have drafted a protocol to submit to AEP (currently being reviewed by legal) as to what information will be transferred, how, and when.</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6"/>
      </w:rPr>
      <w:tab/>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r>
      <w:rPr>
        <w:sz w:val="16"/>
      </w:rPr>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432"/>
        </w:tabs>
        <w:ind w:start="432" w:hanging="360"/>
      </w:pPr>
      <w:rPr>
        <w:b/>
      </w:rPr>
    </w:lvl>
  </w:abstractNum>
  <w:abstractNum w:abstractNumId="3">
    <w:lvl w:ilvl="0">
      <w:start w:val="1"/>
      <w:numFmt w:val="decimal"/>
      <w:lvlText w:val="%1."/>
      <w:lvlJc w:val="start"/>
      <w:pPr>
        <w:tabs>
          <w:tab w:val="num" w:pos="717"/>
        </w:tabs>
        <w:ind w:start="717" w:hanging="64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2001-03-05T22:23:00Z</dcterms:created>
  <dc:creator>bredmon</dc:creator>
  <dc:description/>
  <dc:language>en-CA</dc:language>
  <cp:lastModifiedBy>bredmon</cp:lastModifiedBy>
  <cp:lastPrinted>2001-03-07T19:28:00Z</cp:lastPrinted>
  <dcterms:modified xsi:type="dcterms:W3CDTF">2001-03-07T23:01:00Z</dcterms:modified>
  <cp:revision>5</cp:revision>
  <dc:subject/>
  <dc:title>Better, Faster, Simpler Memo </dc:title>
</cp:coreProperties>
</file>