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Distribution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Brian Redmond</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ENA</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Subject"/>
            <w:bookmarkEnd w:id="2"/>
            <w:r>
              <w:rPr/>
              <w:t>Status of HPL Transition</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p>
    <w:p>
      <w:pPr>
        <w:pStyle w:val="Body"/>
        <w:rPr/>
      </w:pPr>
      <w:r>
        <w:rPr/>
      </w:r>
      <w:bookmarkStart w:id="3" w:name="StartOfMemo"/>
      <w:bookmarkStart w:id="4" w:name="StartOfMemo"/>
      <w:bookmarkEnd w:id="4"/>
    </w:p>
    <w:p>
      <w:pPr>
        <w:pStyle w:val="Body"/>
        <w:rPr/>
      </w:pPr>
      <w:r>
        <w:rPr>
          <w:b/>
        </w:rPr>
        <w:t xml:space="preserve">The following provides an update as to the critical path items to Close the HPL transaction </w:t>
      </w:r>
      <w:r>
        <w:rPr>
          <w:b/>
          <w:u w:val="single"/>
        </w:rPr>
        <w:t>by 1 May 2001:</w:t>
      </w:r>
    </w:p>
    <w:p>
      <w:pPr>
        <w:pStyle w:val="Body"/>
        <w:rPr>
          <w:b/>
          <w:u w:val="single"/>
        </w:rPr>
      </w:pPr>
      <w:r>
        <w:rPr>
          <w:b/>
          <w:u w:val="single"/>
        </w:rPr>
      </w:r>
    </w:p>
    <w:p>
      <w:pPr>
        <w:pStyle w:val="Body"/>
        <w:numPr>
          <w:ilvl w:val="0"/>
          <w:numId w:val="3"/>
        </w:numPr>
        <w:rPr>
          <w:b/>
        </w:rPr>
      </w:pPr>
      <w:r>
        <w:rPr>
          <w:b/>
        </w:rPr>
        <w:t>Hart Scott Rodino:  (R. Shapiro, M. Haedicke, A. Koehler, A. Ballard):  Critical path is responding to potential 2</w:t>
      </w:r>
      <w:r>
        <w:rPr>
          <w:b/>
          <w:vertAlign w:val="superscript"/>
        </w:rPr>
        <w:t>nd</w:t>
      </w:r>
      <w:r>
        <w:rPr>
          <w:b/>
        </w:rPr>
        <w:t xml:space="preserve"> info request from agency.</w:t>
      </w:r>
    </w:p>
    <w:p>
      <w:pPr>
        <w:pStyle w:val="Body"/>
        <w:rPr>
          <w:b/>
        </w:rPr>
      </w:pPr>
      <w:r>
        <w:rPr>
          <w:b/>
        </w:rPr>
      </w:r>
    </w:p>
    <w:p>
      <w:pPr>
        <w:pStyle w:val="Body"/>
        <w:ind w:hanging="1443" w:start="2160" w:end="0"/>
        <w:jc w:val="both"/>
        <w:rPr/>
      </w:pPr>
      <w:r>
        <w:rPr/>
        <w:t>Status:</w:t>
        <w:tab/>
        <w:t>Dept of Justice and FTC still have not decided which agency will take jurisdiction over our application.  Both agencies have filed written claims as to why they should have jurisdiction, but no decision has been reached.  DoJ/FTC must either approve the transaction or issue a 2</w:t>
      </w:r>
      <w:r>
        <w:rPr>
          <w:vertAlign w:val="superscript"/>
        </w:rPr>
        <w:t>nd</w:t>
      </w:r>
      <w:r>
        <w:rPr/>
        <w:t xml:space="preserve"> information request by 2 March.</w:t>
      </w:r>
    </w:p>
    <w:p>
      <w:pPr>
        <w:pStyle w:val="Body"/>
        <w:ind w:hanging="1443" w:start="2160" w:end="0"/>
        <w:jc w:val="both"/>
        <w:rPr/>
      </w:pPr>
      <w:r>
        <w:rPr/>
      </w:r>
    </w:p>
    <w:p>
      <w:pPr>
        <w:pStyle w:val="Body"/>
        <w:ind w:hanging="1443" w:start="2160" w:end="0"/>
        <w:jc w:val="both"/>
        <w:rPr/>
      </w:pPr>
      <w:r>
        <w:rPr/>
        <w:t>Issues:</w:t>
        <w:tab/>
        <w:t>Given the delay in DOJ/FTC reaching a decision, we will most certainly receive a 2</w:t>
      </w:r>
      <w:r>
        <w:rPr>
          <w:vertAlign w:val="superscript"/>
        </w:rPr>
        <w:t>nd</w:t>
      </w:r>
      <w:r>
        <w:rPr/>
        <w:t xml:space="preserve"> information request.  The scope of this request will need to be discussed/negotiated with the presiding agency and then complied with. An extensive information submittal could add months to the approval process.</w:t>
      </w:r>
    </w:p>
    <w:p>
      <w:pPr>
        <w:pStyle w:val="Body"/>
        <w:ind w:hanging="1443" w:start="2160" w:end="0"/>
        <w:jc w:val="both"/>
        <w:rPr/>
      </w:pPr>
      <w:r>
        <w:rPr/>
      </w:r>
    </w:p>
    <w:p>
      <w:pPr>
        <w:pStyle w:val="Body"/>
        <w:ind w:hanging="1443" w:start="2160" w:end="0"/>
        <w:jc w:val="both"/>
        <w:rPr/>
      </w:pPr>
      <w:r>
        <w:rPr/>
        <w:t>Actions:</w:t>
        <w:tab/>
        <w:t>Fully engage all Enron resources to unstick the process.  Lara Leibman/Rick Shapiro will work with contacts at DoJ/FTC to understand the issues and move the process along.  Once second request is issued, implement a strategy at the senior levels of DoJ and FTC to get resolution.  Continue to prepare information that we expect to be requested by DoJ/FTC.</w:t>
      </w:r>
    </w:p>
    <w:p>
      <w:pPr>
        <w:pStyle w:val="Body"/>
        <w:ind w:hanging="723" w:start="1440" w:end="0"/>
        <w:rPr/>
      </w:pPr>
      <w:r>
        <w:rPr/>
      </w:r>
    </w:p>
    <w:p>
      <w:pPr>
        <w:pStyle w:val="Body"/>
        <w:ind w:hanging="723" w:start="1440" w:end="0"/>
        <w:rPr>
          <w:b/>
        </w:rPr>
      </w:pPr>
      <w:r>
        <w:rPr>
          <w:rFonts w:eastAsia="Arial"/>
        </w:rPr>
        <w:t xml:space="preserve">     </w:t>
      </w:r>
    </w:p>
    <w:p>
      <w:pPr>
        <w:pStyle w:val="Body"/>
        <w:ind w:hanging="648" w:start="720" w:end="0"/>
        <w:rPr/>
      </w:pPr>
      <w:r>
        <w:rPr>
          <w:b/>
        </w:rPr>
        <w:t>2.</w:t>
        <w:tab/>
        <w:t>Texas Attorney General:  (A. Ballard, B. Gray, J. Allen, T. Shelton):  Critical path is to show that AEP will not favor their power plants over other 3</w:t>
      </w:r>
      <w:r>
        <w:rPr>
          <w:b/>
          <w:vertAlign w:val="superscript"/>
        </w:rPr>
        <w:t>rd</w:t>
      </w:r>
      <w:r>
        <w:rPr>
          <w:b/>
        </w:rPr>
        <w:t xml:space="preserve"> party customers.</w:t>
      </w:r>
    </w:p>
    <w:p>
      <w:pPr>
        <w:pStyle w:val="Body"/>
        <w:rPr>
          <w:b/>
        </w:rPr>
      </w:pPr>
      <w:r>
        <w:rPr>
          <w:b/>
        </w:rPr>
      </w:r>
    </w:p>
    <w:p>
      <w:pPr>
        <w:pStyle w:val="Body"/>
        <w:ind w:hanging="1443" w:start="2160" w:end="0"/>
        <w:jc w:val="both"/>
        <w:rPr/>
      </w:pPr>
      <w:r>
        <w:rPr/>
        <w:t>Status:</w:t>
        <w:tab/>
        <w:t>Texas Attorney General office has requested access to the information we present to DOJ/FTC.  AEP/Enron will make a presentation to the AG office on 27 February to address their concerns.</w:t>
      </w:r>
    </w:p>
    <w:p>
      <w:pPr>
        <w:pStyle w:val="Body"/>
        <w:ind w:hanging="1443" w:start="2160" w:end="0"/>
        <w:jc w:val="both"/>
        <w:rPr/>
      </w:pPr>
      <w:r>
        <w:rPr/>
      </w:r>
    </w:p>
    <w:p>
      <w:pPr>
        <w:pStyle w:val="Body"/>
        <w:ind w:hanging="1443" w:start="2160" w:end="0"/>
        <w:jc w:val="both"/>
        <w:rPr/>
      </w:pPr>
      <w:r>
        <w:rPr/>
        <w:t>Issues:</w:t>
        <w:tab/>
        <w:t>We need to seek to limit the scope of their issues/interest.</w:t>
      </w:r>
    </w:p>
    <w:p>
      <w:pPr>
        <w:pStyle w:val="Body"/>
        <w:ind w:hanging="1443" w:start="2160" w:end="0"/>
        <w:jc w:val="both"/>
        <w:rPr/>
      </w:pPr>
      <w:r>
        <w:rPr/>
      </w:r>
    </w:p>
    <w:p>
      <w:pPr>
        <w:pStyle w:val="Body"/>
        <w:ind w:hanging="1443" w:start="2160" w:end="0"/>
        <w:jc w:val="both"/>
        <w:rPr/>
      </w:pPr>
      <w:r>
        <w:rPr/>
        <w:t>Actions:</w:t>
        <w:tab/>
        <w:t>Complete scheduled to the AG’s office on 27 February.  We have met with the Chairman of the Texas RR Commission – no concerns expressed. Use Joe Allen’s contacts with the AG’s office to further define and address their concerns.</w:t>
      </w:r>
    </w:p>
    <w:p>
      <w:pPr>
        <w:pStyle w:val="Body"/>
        <w:ind w:hanging="1443" w:start="2160" w:end="0"/>
        <w:jc w:val="both"/>
        <w:rPr/>
      </w:pPr>
      <w:r>
        <w:rPr/>
      </w:r>
    </w:p>
    <w:p>
      <w:pPr>
        <w:pStyle w:val="Body"/>
        <w:ind w:hanging="1443" w:start="2160" w:end="0"/>
        <w:jc w:val="both"/>
        <w:rPr/>
      </w:pPr>
      <w:r>
        <w:rPr/>
      </w:r>
    </w:p>
    <w:p>
      <w:pPr>
        <w:pStyle w:val="Body"/>
        <w:rPr>
          <w:b/>
        </w:rPr>
      </w:pPr>
      <w:r>
        <w:rPr>
          <w:b/>
        </w:rPr>
        <w:t>3.</w:t>
        <w:tab/>
        <w:t>A/S Line Repair: (S. Schneider/Ken Kaase):  Critical path is time required to process smart pig data.</w:t>
      </w:r>
    </w:p>
    <w:p>
      <w:pPr>
        <w:pStyle w:val="Body"/>
        <w:rPr>
          <w:b/>
        </w:rPr>
      </w:pPr>
      <w:r>
        <w:rPr>
          <w:b/>
        </w:rPr>
      </w:r>
    </w:p>
    <w:p>
      <w:pPr>
        <w:pStyle w:val="Body"/>
        <w:ind w:hanging="1443" w:start="2160" w:end="0"/>
        <w:jc w:val="both"/>
        <w:rPr/>
      </w:pPr>
      <w:r>
        <w:rPr/>
        <w:t>Status:</w:t>
        <w:tab/>
        <w:t xml:space="preserve">Shut down, installation of required valves, and smart pigging operation is scheduled for 23 March.  Critical path is the delivery of the valves/materials needed to prepare the A/S line for pigging our ability to meet our customer’s delivery requirements during the winter.  We are working on a way to expedite the interpretation of the pigging data to determine if we need to repair the pipe (currently the interpretation will take 30 –45 days).  If repair is needed, then the A/S line will not be completed until mid-June. </w:t>
      </w:r>
    </w:p>
    <w:p>
      <w:pPr>
        <w:pStyle w:val="Body"/>
        <w:ind w:hanging="1443" w:start="2160" w:end="0"/>
        <w:jc w:val="both"/>
        <w:rPr/>
      </w:pPr>
      <w:r>
        <w:rPr/>
      </w:r>
    </w:p>
    <w:p>
      <w:pPr>
        <w:pStyle w:val="Body"/>
        <w:ind w:hanging="1443" w:start="2160" w:end="0"/>
        <w:jc w:val="both"/>
        <w:rPr/>
      </w:pPr>
      <w:r>
        <w:rPr/>
        <w:t>Issues:</w:t>
        <w:tab/>
        <w:t xml:space="preserve">Expedite pigging data interpretation. El Paso, as operator, is carrying out the repair and may not be willing to pay a large premium to expedite the processing of the pigging data.  </w:t>
      </w:r>
    </w:p>
    <w:p>
      <w:pPr>
        <w:pStyle w:val="Body"/>
        <w:ind w:hanging="1443" w:start="2160" w:end="0"/>
        <w:jc w:val="both"/>
        <w:rPr/>
      </w:pPr>
      <w:r>
        <w:rPr/>
      </w:r>
    </w:p>
    <w:p>
      <w:pPr>
        <w:pStyle w:val="Body"/>
        <w:ind w:hanging="1443" w:start="2160" w:end="0"/>
        <w:jc w:val="both"/>
        <w:rPr/>
      </w:pPr>
      <w:r>
        <w:rPr/>
      </w:r>
    </w:p>
    <w:p>
      <w:pPr>
        <w:pStyle w:val="Body"/>
        <w:ind w:hanging="1443" w:start="2160" w:end="0"/>
        <w:jc w:val="both"/>
        <w:rPr/>
      </w:pPr>
      <w:r>
        <w:rPr/>
        <w:t>Actions:</w:t>
        <w:tab/>
        <w:t>Develop an incentive plan between El Paso and the pigging contractor to expedite the data interpretation process.  Develop a proposal for risk sharing between Enron and AEP that would enable us to close the transaction ahead of having the A/S line fully in compliance with Texas RR Commission Requirements.</w:t>
      </w:r>
    </w:p>
    <w:p>
      <w:pPr>
        <w:pStyle w:val="Body"/>
        <w:rPr>
          <w:b/>
        </w:rPr>
      </w:pPr>
      <w:r>
        <w:rPr>
          <w:b/>
        </w:rPr>
      </w:r>
    </w:p>
    <w:p>
      <w:pPr>
        <w:pStyle w:val="Body"/>
        <w:rPr>
          <w:b/>
        </w:rPr>
      </w:pPr>
      <w:r>
        <w:rPr>
          <w:b/>
        </w:rPr>
      </w:r>
    </w:p>
    <w:p>
      <w:pPr>
        <w:pStyle w:val="Body"/>
        <w:rPr>
          <w:b/>
        </w:rPr>
      </w:pPr>
      <w:r>
        <w:rPr>
          <w:b/>
        </w:rPr>
        <w:t>3.</w:t>
        <w:tab/>
        <w:t>IT Systems: (P. Bibi, T. Yanowski):  Critical path is the installation of the T1 phone lines to serve AEP</w:t>
      </w:r>
    </w:p>
    <w:p>
      <w:pPr>
        <w:pStyle w:val="Body"/>
        <w:rPr/>
      </w:pPr>
      <w:r>
        <w:rPr/>
        <w:tab/>
        <w:tab/>
        <w:tab/>
        <w:tab/>
        <w:tab/>
        <w:tab/>
      </w:r>
    </w:p>
    <w:p>
      <w:pPr>
        <w:pStyle w:val="Body"/>
        <w:ind w:hanging="1443" w:start="2160" w:end="0"/>
        <w:jc w:val="both"/>
        <w:rPr/>
      </w:pPr>
      <w:r>
        <w:rPr/>
        <w:t>Status:</w:t>
        <w:tab/>
        <w:t>AEP was delayed in securing a lease for HPL operations, but now has one.  Discussions are ongoing to define system interfaces.   We are planning for a 1 May “soft close” where all systems are operational and we can test the functionality with HPL resources in their new location.</w:t>
      </w:r>
    </w:p>
    <w:p>
      <w:pPr>
        <w:pStyle w:val="Body"/>
        <w:ind w:hanging="1443" w:start="2160" w:end="0"/>
        <w:jc w:val="both"/>
        <w:rPr/>
      </w:pPr>
      <w:r>
        <w:rPr/>
      </w:r>
    </w:p>
    <w:p>
      <w:pPr>
        <w:pStyle w:val="Body"/>
        <w:ind w:hanging="1443" w:start="2160" w:end="0"/>
        <w:jc w:val="both"/>
        <w:rPr/>
      </w:pPr>
      <w:r>
        <w:rPr/>
        <w:t>Issues:</w:t>
        <w:tab/>
        <w:t xml:space="preserve">We need to clearly define system interfaces so that AEP cannot delay the Closing Date due to AEP’s failure to develop their internal systems capability.  </w:t>
      </w:r>
    </w:p>
    <w:p>
      <w:pPr>
        <w:pStyle w:val="Body"/>
        <w:ind w:hanging="1443" w:start="2160" w:end="0"/>
        <w:jc w:val="both"/>
        <w:rPr/>
      </w:pPr>
      <w:r>
        <w:rPr/>
      </w:r>
    </w:p>
    <w:p>
      <w:pPr>
        <w:pStyle w:val="Body"/>
        <w:ind w:hanging="1443" w:start="2160" w:end="0"/>
        <w:jc w:val="both"/>
        <w:rPr/>
      </w:pPr>
      <w:r>
        <w:rPr/>
        <w:t>Actions:</w:t>
        <w:tab/>
        <w:t>Develop a systems protocol/plan with AEP to clearly define Enron actions required to satisfy condition precedent to close.  Work with T1 provider to expedite delivery of T1 service to new AEP facility.</w:t>
      </w:r>
    </w:p>
    <w:p>
      <w:pPr>
        <w:pStyle w:val="Body"/>
        <w:ind w:hanging="1443" w:start="2160" w:end="0"/>
        <w:jc w:val="both"/>
        <w:rPr/>
      </w:pPr>
      <w:r>
        <w:rPr/>
      </w:r>
    </w:p>
    <w:p>
      <w:pPr>
        <w:pStyle w:val="Body"/>
        <w:rPr>
          <w:b/>
        </w:rPr>
      </w:pPr>
      <w:r>
        <w:rPr>
          <w:b/>
        </w:rPr>
      </w:r>
    </w:p>
    <w:p>
      <w:pPr>
        <w:pStyle w:val="Body"/>
        <w:numPr>
          <w:ilvl w:val="0"/>
          <w:numId w:val="2"/>
        </w:numPr>
        <w:ind w:hanging="648" w:start="720" w:end="0"/>
        <w:rPr/>
      </w:pPr>
      <w:r>
        <w:rPr>
          <w:b/>
        </w:rPr>
        <w:t>Bammel Cushion Gas Reclass:  (W. Colwell, T. Martin, P. Wade):  Replacement of 5 bcf of Bammel cushion gas sold forward.</w:t>
      </w:r>
    </w:p>
    <w:p>
      <w:pPr>
        <w:pStyle w:val="Body"/>
        <w:ind w:hanging="1443" w:start="2160" w:end="0"/>
        <w:jc w:val="both"/>
        <w:rPr/>
      </w:pPr>
      <w:r>
        <w:rPr/>
      </w:r>
    </w:p>
    <w:p>
      <w:pPr>
        <w:pStyle w:val="Body"/>
        <w:ind w:hanging="1443" w:start="2160" w:end="0"/>
        <w:jc w:val="both"/>
        <w:rPr/>
      </w:pPr>
      <w:r>
        <w:rPr/>
        <w:t>Status:</w:t>
        <w:tab/>
        <w:t>Warm weather will lead to more than 65 bcf being in Bammel on the Closing Date.  Working gas in excess of 65bcf will be sold to AEP at the July HSC Index.</w:t>
      </w:r>
    </w:p>
    <w:p>
      <w:pPr>
        <w:pStyle w:val="Body"/>
        <w:ind w:hanging="1443" w:start="2160" w:end="0"/>
        <w:jc w:val="both"/>
        <w:rPr/>
      </w:pPr>
      <w:r>
        <w:rPr/>
      </w:r>
    </w:p>
    <w:p>
      <w:pPr>
        <w:pStyle w:val="Body"/>
        <w:ind w:hanging="1443" w:start="2160" w:end="0"/>
        <w:jc w:val="both"/>
        <w:rPr/>
      </w:pPr>
      <w:r>
        <w:rPr/>
        <w:t>Issues:</w:t>
        <w:tab/>
        <w:t>Need to finalize the treatment of the 5bcf of Cushion Gas (60bcf to 65bcf) between the PRM assets and the balance sheet.  Need to present any changes to the HPL balance sheet to AEP.</w:t>
      </w:r>
    </w:p>
    <w:p>
      <w:pPr>
        <w:pStyle w:val="Body"/>
        <w:ind w:hanging="1443" w:start="2160" w:end="0"/>
        <w:jc w:val="both"/>
        <w:rPr/>
      </w:pPr>
      <w:r>
        <w:rPr/>
      </w:r>
    </w:p>
    <w:p>
      <w:pPr>
        <w:pStyle w:val="Body"/>
        <w:ind w:hanging="1443" w:start="2160" w:end="0"/>
        <w:jc w:val="both"/>
        <w:rPr/>
      </w:pPr>
      <w:r>
        <w:rPr/>
        <w:t>Actions:</w:t>
        <w:tab/>
        <w:t>Internal meeting to get agreement on 26 Feb.  Meeting with AEP to discuss any changes to the HPL balance sheet by the end of the week.  Generate cashflow to pay for the 5bcf of Cushion Gas by re-financing the Cushion Gas monetization at a higher basis.</w:t>
      </w:r>
    </w:p>
    <w:p>
      <w:pPr>
        <w:pStyle w:val="Body"/>
        <w:ind w:start="0" w:end="0"/>
        <w:rPr/>
      </w:pPr>
      <w:r>
        <w:rPr/>
      </w:r>
    </w:p>
    <w:p>
      <w:pPr>
        <w:pStyle w:val="Body"/>
        <w:rPr>
          <w:b/>
        </w:rPr>
      </w:pPr>
      <w:r>
        <w:rPr>
          <w:b/>
        </w:rPr>
      </w:r>
    </w:p>
    <w:p>
      <w:pPr>
        <w:pStyle w:val="Body"/>
        <w:numPr>
          <w:ilvl w:val="0"/>
          <w:numId w:val="2"/>
        </w:numPr>
        <w:ind w:hanging="648" w:start="720" w:end="0"/>
        <w:rPr/>
      </w:pPr>
      <w:r>
        <w:rPr>
          <w:b/>
        </w:rPr>
        <w:t>Unwind of PRM Books:  (T. Despain, T. Rohauer, P. Wade):  Reclassification of 5 bcf of Bammel cushion gas must be addressed with AEP.</w:t>
      </w:r>
    </w:p>
    <w:p>
      <w:pPr>
        <w:pStyle w:val="Body"/>
        <w:ind w:hanging="1443" w:start="2160" w:end="0"/>
        <w:jc w:val="both"/>
        <w:rPr/>
      </w:pPr>
      <w:r>
        <w:rPr/>
      </w:r>
    </w:p>
    <w:p>
      <w:pPr>
        <w:pStyle w:val="Body"/>
        <w:ind w:hanging="1443" w:start="2160" w:end="0"/>
        <w:jc w:val="both"/>
        <w:rPr/>
      </w:pPr>
      <w:r>
        <w:rPr/>
        <w:t>Status:</w:t>
        <w:tab/>
        <w:t xml:space="preserve">Simulation of unwind of Enron books completed.  We have established a reserve to unwind PRM assets beyond a 1 July Closing Date. </w:t>
      </w:r>
    </w:p>
    <w:p>
      <w:pPr>
        <w:pStyle w:val="Body"/>
        <w:ind w:hanging="1443" w:start="2160" w:end="0"/>
        <w:jc w:val="both"/>
        <w:rPr/>
      </w:pPr>
      <w:r>
        <w:rPr/>
      </w:r>
    </w:p>
    <w:p>
      <w:pPr>
        <w:pStyle w:val="Body"/>
        <w:ind w:hanging="1443" w:start="2160" w:end="0"/>
        <w:jc w:val="both"/>
        <w:rPr/>
      </w:pPr>
      <w:r>
        <w:rPr/>
        <w:t>Issues:</w:t>
        <w:tab/>
        <w:t>We need to include under the AEP/Enron ISDA the swaps we are putting in place with AEP for the HPL fixed price deals.  However, we want to exclude these swaps from the collateral requirements of the ISDA.</w:t>
      </w:r>
    </w:p>
    <w:p>
      <w:pPr>
        <w:pStyle w:val="Body"/>
        <w:ind w:hanging="1443" w:start="2160" w:end="0"/>
        <w:jc w:val="both"/>
        <w:rPr/>
      </w:pPr>
      <w:r>
        <w:rPr/>
      </w:r>
    </w:p>
    <w:p>
      <w:pPr>
        <w:pStyle w:val="Body"/>
        <w:ind w:hanging="1443" w:start="2160" w:end="0"/>
        <w:jc w:val="both"/>
        <w:rPr/>
      </w:pPr>
      <w:r>
        <w:rPr/>
        <w:t>Actions:</w:t>
        <w:tab/>
        <w:t>Meeting on 26 February to develop a protocol to present to AEP.  Meeting with AEP to discuss.</w:t>
      </w:r>
    </w:p>
    <w:p>
      <w:pPr>
        <w:pStyle w:val="Body"/>
        <w:ind w:start="0" w:end="0"/>
        <w:rPr>
          <w:b/>
        </w:rPr>
      </w:pPr>
      <w:r>
        <w:rPr>
          <w:b/>
        </w:rPr>
      </w:r>
    </w:p>
    <w:p>
      <w:pPr>
        <w:pStyle w:val="Body"/>
        <w:ind w:start="0" w:end="0"/>
        <w:rPr>
          <w:b/>
        </w:rPr>
      </w:pPr>
      <w:r>
        <w:rPr>
          <w:b/>
        </w:rPr>
      </w:r>
    </w:p>
    <w:p>
      <w:pPr>
        <w:pStyle w:val="Body"/>
        <w:numPr>
          <w:ilvl w:val="0"/>
          <w:numId w:val="2"/>
        </w:numPr>
        <w:ind w:hanging="648" w:start="720" w:end="0"/>
        <w:rPr>
          <w:b/>
        </w:rPr>
      </w:pPr>
      <w:r>
        <w:rPr>
          <w:b/>
        </w:rPr>
        <w:t xml:space="preserve">HR Issues: (D. Oxley, M. Cash, F. Mayes): Motivate employees to continue working for the best interest of Enron through the Closing Date. </w:t>
      </w:r>
    </w:p>
    <w:p>
      <w:pPr>
        <w:pStyle w:val="Body"/>
        <w:ind w:start="0" w:end="0"/>
        <w:rPr>
          <w:b/>
        </w:rPr>
      </w:pPr>
      <w:r>
        <w:rPr>
          <w:b/>
        </w:rPr>
      </w:r>
    </w:p>
    <w:p>
      <w:pPr>
        <w:pStyle w:val="Body"/>
        <w:ind w:hanging="1443" w:start="2160" w:end="0"/>
        <w:jc w:val="both"/>
        <w:rPr/>
      </w:pPr>
      <w:r>
        <w:rPr/>
        <w:t>Status:</w:t>
        <w:tab/>
        <w:t>AEP has issued transfer letters to HPL employees – an informal deadline has been set for responses next Friday.  If an employee does not wish to continue with HPL/AEP, this refusal will constitute voluntary termination (upon Closing) and no severance will be due from AEP.  If AEP terminates transferred employees, then AEP will pay severance to that employee based on Enron’s severance package.</w:t>
      </w:r>
    </w:p>
    <w:p>
      <w:pPr>
        <w:pStyle w:val="Body"/>
        <w:ind w:hanging="1443" w:start="2160" w:end="0"/>
        <w:jc w:val="both"/>
        <w:rPr/>
      </w:pPr>
      <w:r>
        <w:rPr/>
      </w:r>
    </w:p>
    <w:p>
      <w:pPr>
        <w:pStyle w:val="Body"/>
        <w:ind w:hanging="1443" w:start="2160" w:end="0"/>
        <w:jc w:val="both"/>
        <w:rPr/>
      </w:pPr>
      <w:r>
        <w:rPr/>
        <w:t>Issues:</w:t>
        <w:tab/>
        <w:t>As employees agree to work with AEP, we need to give them an incentive from trying to recruit other Enron people to join AEP after Closing.</w:t>
      </w:r>
    </w:p>
    <w:p>
      <w:pPr>
        <w:pStyle w:val="Body"/>
        <w:ind w:hanging="1443" w:start="2160" w:end="0"/>
        <w:jc w:val="both"/>
        <w:rPr/>
      </w:pPr>
      <w:r>
        <w:rPr/>
      </w:r>
    </w:p>
    <w:p>
      <w:pPr>
        <w:pStyle w:val="Body"/>
        <w:ind w:hanging="1443" w:start="2160" w:end="0"/>
        <w:jc w:val="both"/>
        <w:rPr/>
      </w:pPr>
      <w:r>
        <w:rPr/>
      </w:r>
    </w:p>
    <w:p>
      <w:pPr>
        <w:pStyle w:val="Body"/>
        <w:ind w:hanging="1443" w:start="2160" w:end="0"/>
        <w:jc w:val="both"/>
        <w:rPr/>
      </w:pPr>
      <w:r>
        <w:rPr/>
      </w:r>
    </w:p>
    <w:p>
      <w:pPr>
        <w:pStyle w:val="Body"/>
        <w:ind w:hanging="1443" w:start="2160" w:end="0"/>
        <w:jc w:val="both"/>
        <w:rPr/>
      </w:pPr>
      <w:r>
        <w:rPr/>
        <w:t>Actions:</w:t>
        <w:tab/>
        <w:t>Employee meeting to discuss commercial processes and procedures between now and the Closing Date.  Issue memo answering employee questions, and putting HPL employees on notice not to seek to entice other Enron employees to leave Enron for AEP – this will result in termination from Enron.</w:t>
      </w:r>
    </w:p>
    <w:p>
      <w:pPr>
        <w:pStyle w:val="Body"/>
        <w:ind w:start="0" w:end="0"/>
        <w:rPr/>
      </w:pPr>
      <w:r>
        <w:rPr/>
      </w:r>
    </w:p>
    <w:p>
      <w:pPr>
        <w:pStyle w:val="Body"/>
        <w:ind w:start="0" w:end="0"/>
        <w:rPr>
          <w:b/>
        </w:rPr>
      </w:pPr>
      <w:r>
        <w:rPr>
          <w:b/>
        </w:rPr>
      </w:r>
    </w:p>
    <w:p>
      <w:pPr>
        <w:pStyle w:val="Body"/>
        <w:numPr>
          <w:ilvl w:val="0"/>
          <w:numId w:val="2"/>
        </w:numPr>
        <w:ind w:hanging="648" w:start="720" w:end="0"/>
        <w:rPr>
          <w:b/>
        </w:rPr>
      </w:pPr>
      <w:r>
        <w:rPr>
          <w:b/>
        </w:rPr>
        <w:t xml:space="preserve">Unwind of Monetizations: (J. Deffner, R. Dutt): Critical path is finalizing documentation with monetization lenders. </w:t>
      </w:r>
    </w:p>
    <w:p>
      <w:pPr>
        <w:pStyle w:val="Body"/>
        <w:ind w:start="0" w:end="0"/>
        <w:rPr>
          <w:b/>
        </w:rPr>
      </w:pPr>
      <w:r>
        <w:rPr>
          <w:b/>
        </w:rPr>
      </w:r>
    </w:p>
    <w:p>
      <w:pPr>
        <w:pStyle w:val="Body"/>
        <w:ind w:hanging="1443" w:start="2160" w:end="0"/>
        <w:jc w:val="both"/>
        <w:rPr/>
      </w:pPr>
      <w:r>
        <w:rPr/>
        <w:t>Status:</w:t>
        <w:tab/>
        <w:t>Documents being prepared.  Enron has been meeting with banks and counterparties.</w:t>
      </w:r>
    </w:p>
    <w:p>
      <w:pPr>
        <w:pStyle w:val="Body"/>
        <w:ind w:hanging="1443" w:start="2160" w:end="0"/>
        <w:jc w:val="both"/>
        <w:rPr/>
      </w:pPr>
      <w:r>
        <w:rPr/>
      </w:r>
    </w:p>
    <w:p>
      <w:pPr>
        <w:pStyle w:val="Body"/>
        <w:ind w:hanging="1443" w:start="2160" w:end="0"/>
        <w:jc w:val="both"/>
        <w:rPr/>
      </w:pPr>
      <w:r>
        <w:rPr/>
        <w:t>Issues:</w:t>
        <w:tab/>
        <w:t>Timing for unwinding the monetizations vs. Closing Date.  If we unwind the facilities to soon, we will give up optionality and funds flow if the Closing Date is delayed.</w:t>
      </w:r>
    </w:p>
    <w:p>
      <w:pPr>
        <w:pStyle w:val="Body"/>
        <w:ind w:hanging="1443" w:start="2160" w:end="0"/>
        <w:jc w:val="both"/>
        <w:rPr/>
      </w:pPr>
      <w:r>
        <w:rPr/>
      </w:r>
    </w:p>
    <w:p>
      <w:pPr>
        <w:pStyle w:val="Body"/>
        <w:ind w:hanging="1443" w:start="2160" w:end="0"/>
        <w:jc w:val="both"/>
        <w:rPr/>
      </w:pPr>
      <w:r>
        <w:rPr/>
        <w:t>Actions:</w:t>
        <w:tab/>
        <w:t>Target to unwind facilities as soon as we have certainty that we will get HSR approval.</w:t>
      </w:r>
    </w:p>
    <w:p>
      <w:pPr>
        <w:pStyle w:val="Body"/>
        <w:ind w:hanging="1443" w:start="2160" w:end="0"/>
        <w:jc w:val="both"/>
        <w:rPr/>
      </w:pPr>
      <w:r>
        <w:rPr/>
      </w:r>
    </w:p>
    <w:p>
      <w:pPr>
        <w:pStyle w:val="Body"/>
        <w:ind w:hanging="1443" w:start="2160" w:end="0"/>
        <w:jc w:val="both"/>
        <w:rPr>
          <w:b/>
        </w:rPr>
      </w:pPr>
      <w:r>
        <w:rPr>
          <w:b/>
        </w:rPr>
      </w:r>
    </w:p>
    <w:p>
      <w:pPr>
        <w:pStyle w:val="Body"/>
        <w:numPr>
          <w:ilvl w:val="0"/>
          <w:numId w:val="2"/>
        </w:numPr>
        <w:ind w:hanging="648" w:start="720" w:end="0"/>
        <w:rPr>
          <w:b/>
        </w:rPr>
      </w:pPr>
      <w:r>
        <w:rPr>
          <w:b/>
        </w:rPr>
        <w:t>Business Operations Processes: (S. Beck, R. Hall):  Critical path is to develop a protocol with AEP to govern back-office functions before, during, and after the Closing Date</w:t>
      </w:r>
    </w:p>
    <w:p>
      <w:pPr>
        <w:pStyle w:val="Body"/>
        <w:rPr>
          <w:b/>
        </w:rPr>
      </w:pPr>
      <w:r>
        <w:rPr>
          <w:b/>
        </w:rPr>
      </w:r>
    </w:p>
    <w:p>
      <w:pPr>
        <w:pStyle w:val="Body"/>
        <w:ind w:hanging="1443" w:start="2160" w:end="0"/>
        <w:jc w:val="both"/>
        <w:rPr/>
      </w:pPr>
      <w:r>
        <w:rPr/>
        <w:t>Status:</w:t>
        <w:tab/>
        <w:t>General discussions between Enron and AEP need to be clarified and documented to clearly specify who and how business ops functions will be carried out before, during and after the Closing Date.</w:t>
      </w:r>
    </w:p>
    <w:p>
      <w:pPr>
        <w:pStyle w:val="Body"/>
        <w:ind w:hanging="1443" w:start="2160" w:end="0"/>
        <w:jc w:val="both"/>
        <w:rPr/>
      </w:pPr>
      <w:r>
        <w:rPr/>
      </w:r>
    </w:p>
    <w:p>
      <w:pPr>
        <w:pStyle w:val="Body"/>
        <w:ind w:hanging="1443" w:start="2160" w:end="0"/>
        <w:jc w:val="both"/>
        <w:rPr/>
      </w:pPr>
      <w:r>
        <w:rPr/>
        <w:t>Issues:</w:t>
        <w:tab/>
        <w:t>Need to establish how A/P, A/R and imbalance accounts will be settled after Closing Date given that many of the resources who would do this for Enron will be transferred to AEP.  Need to discuss the operation and access to the HPL bank accounts before and after Closing.</w:t>
      </w:r>
    </w:p>
    <w:p>
      <w:pPr>
        <w:pStyle w:val="Body"/>
        <w:ind w:hanging="1443" w:start="2160" w:end="0"/>
        <w:jc w:val="both"/>
        <w:rPr/>
      </w:pPr>
      <w:r>
        <w:rPr/>
      </w:r>
    </w:p>
    <w:p>
      <w:pPr>
        <w:pStyle w:val="Body"/>
        <w:ind w:hanging="1443" w:start="2160" w:end="0"/>
        <w:jc w:val="both"/>
        <w:rPr/>
      </w:pPr>
      <w:r>
        <w:rPr/>
        <w:t>Actions:</w:t>
        <w:tab/>
        <w:t>B. Hall and S. Beck responsible for developing a protocol with AEP governing the above issues.</w:t>
      </w:r>
    </w:p>
    <w:p>
      <w:pPr>
        <w:pStyle w:val="Body"/>
        <w:rPr>
          <w:b/>
        </w:rPr>
      </w:pPr>
      <w:r>
        <w:rPr>
          <w:b/>
        </w:rPr>
      </w:r>
    </w:p>
    <w:p>
      <w:pPr>
        <w:pStyle w:val="Body"/>
        <w:rPr>
          <w:b/>
        </w:rPr>
      </w:pPr>
      <w:r>
        <w:rPr>
          <w:b/>
        </w:rPr>
      </w:r>
    </w:p>
    <w:p>
      <w:pPr>
        <w:pStyle w:val="Body"/>
        <w:rPr>
          <w:b/>
        </w:rPr>
      </w:pPr>
      <w:r>
        <w:rPr>
          <w:b/>
        </w:rPr>
      </w:r>
    </w:p>
    <w:p>
      <w:pPr>
        <w:pStyle w:val="Body"/>
        <w:numPr>
          <w:ilvl w:val="0"/>
          <w:numId w:val="2"/>
        </w:numPr>
        <w:ind w:hanging="648" w:start="720" w:end="0"/>
        <w:rPr>
          <w:b/>
        </w:rPr>
      </w:pPr>
      <w:r>
        <w:rPr>
          <w:b/>
        </w:rPr>
        <w:t xml:space="preserve">Books &amp; Records: (A. Koehler, J. Coffey, C. Gilley): Need to separate pre-closing and post-closing information transfer. </w:t>
      </w:r>
    </w:p>
    <w:p>
      <w:pPr>
        <w:pStyle w:val="Body"/>
        <w:ind w:start="0" w:end="0"/>
        <w:rPr>
          <w:b/>
        </w:rPr>
      </w:pPr>
      <w:r>
        <w:rPr>
          <w:b/>
        </w:rPr>
      </w:r>
    </w:p>
    <w:p>
      <w:pPr>
        <w:pStyle w:val="Body"/>
        <w:ind w:hanging="1443" w:start="2160" w:end="0"/>
        <w:jc w:val="both"/>
        <w:rPr/>
      </w:pPr>
      <w:r>
        <w:rPr/>
        <w:t>Status:</w:t>
        <w:tab/>
        <w:t>HPL data inventory has been reviewed.  Currently collecting critical information for delivery to AEP at Closing.</w:t>
      </w:r>
    </w:p>
    <w:p>
      <w:pPr>
        <w:pStyle w:val="Body"/>
        <w:ind w:hanging="1443" w:start="2160" w:end="0"/>
        <w:jc w:val="both"/>
        <w:rPr/>
      </w:pPr>
      <w:r>
        <w:rPr/>
      </w:r>
    </w:p>
    <w:p>
      <w:pPr>
        <w:pStyle w:val="Body"/>
        <w:ind w:hanging="1443" w:start="2160" w:end="0"/>
        <w:jc w:val="both"/>
        <w:rPr/>
      </w:pPr>
      <w:r>
        <w:rPr/>
        <w:t>Issues:</w:t>
        <w:tab/>
        <w:t>Enron has over 75 years of information on HPL – we need to develop/agree how this information will be handled with AEP.  We need to ensure we do not provide Enron confidential information to AEP as well.</w:t>
      </w:r>
    </w:p>
    <w:p>
      <w:pPr>
        <w:pStyle w:val="Body"/>
        <w:ind w:hanging="1443" w:start="2160" w:end="0"/>
        <w:jc w:val="both"/>
        <w:rPr/>
      </w:pPr>
      <w:r>
        <w:rPr/>
      </w:r>
    </w:p>
    <w:p>
      <w:pPr>
        <w:pStyle w:val="Body"/>
        <w:ind w:hanging="1443" w:start="2160" w:end="0"/>
        <w:jc w:val="both"/>
        <w:rPr/>
      </w:pPr>
      <w:r>
        <w:rPr/>
        <w:t>Actions:</w:t>
        <w:tab/>
        <w:t>Develop a protocol with AEP as to what information will be transferred, how, and when.</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16"/>
      </w:rPr>
      <w:tab/>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r>
      <w:rPr>
        <w:sz w:val="16"/>
      </w:rPr>
      <w:tab/>
      <w:t xml:space="preserve">Page </w:t>
    </w:r>
    <w:r>
      <w:rPr>
        <w:sz w:val="16"/>
      </w:rPr>
      <w:fldChar w:fldCharType="begin"/>
    </w:r>
    <w:r>
      <w:rPr>
        <w:sz w:val="16"/>
      </w:rPr>
      <w:instrText xml:space="preserve"> PAGE </w:instrText>
    </w:r>
    <w:r>
      <w:rPr>
        <w:sz w:val="16"/>
      </w:rPr>
      <w:fldChar w:fldCharType="separate"/>
    </w:r>
    <w:r>
      <w:rPr>
        <w:sz w:val="16"/>
      </w:rPr>
      <w:t>3</w:t>
    </w:r>
    <w:r>
      <w:rPr>
        <w:sz w:val="16"/>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432"/>
        </w:tabs>
        <w:ind w:start="432" w:hanging="360"/>
      </w:pPr>
      <w:rPr>
        <w:b/>
      </w:rPr>
    </w:lvl>
  </w:abstractNum>
  <w:abstractNum w:abstractNumId="3">
    <w:lvl w:ilvl="0">
      <w:start w:val="1"/>
      <w:numFmt w:val="decimal"/>
      <w:lvlText w:val="%1."/>
      <w:lvlJc w:val="start"/>
      <w:pPr>
        <w:tabs>
          <w:tab w:val="num" w:pos="717"/>
        </w:tabs>
        <w:ind w:start="717" w:hanging="64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b/>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Bfsmemo2.dot</Template>
  <TotalTime>261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2001-02-23T21:24:00Z</dcterms:created>
  <dc:creator>bredmon</dc:creator>
  <dc:description/>
  <dc:language>en-CA</dc:language>
  <cp:lastModifiedBy>bredmon</cp:lastModifiedBy>
  <cp:lastPrinted>2001-02-26T14:42:00Z</cp:lastPrinted>
  <dcterms:modified xsi:type="dcterms:W3CDTF">2001-02-26T18:12:00Z</dcterms:modified>
  <cp:revision>9</cp:revision>
  <dc:subject/>
  <dc:title>Better, Faster, Simpler Memo </dc:title>
</cp:coreProperties>
</file>