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u w:val="single"/>
        </w:rPr>
      </w:pPr>
      <w:r>
        <w:rPr>
          <w:rFonts w:cs="Arial" w:ascii="Arial" w:hAnsi="Arial"/>
          <w:b/>
          <w:sz w:val="22"/>
          <w:u w:val="single"/>
        </w:rPr>
        <w:t>DRAFT</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t>Date:</w:t>
        <w:tab/>
        <w:tab/>
        <w:t>January ___,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w:t>
        <w:tab/>
        <w:tab/>
        <w:t>Rock Meyer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From:</w:t>
        <w:tab/>
        <w:tab/>
        <w:t>Electric Compression Analysis Team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Subject:</w:t>
        <w:tab/>
        <w:t>Compressor Station 27 Options</w:t>
      </w:r>
    </w:p>
    <w:p>
      <w:pPr>
        <w:pStyle w:val="Normal"/>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On September 9, 2000, Requests for Proposals (“RFP”) for electric compression service at Station 27 were sent to six parties.  Responses were received from only 2 parties – TECO BGA (“TECO”) and Enron Compression Services (“ECS”).  TECO responded only with a letter declining to submit a proposal.  The only proposal received in response to the RFP was from ECS, and it was hedged with the statement that “The final terms of this proposal will be determined based on final scope and project costs, gas and electricity market pricing and other contractual details.”  Using the terms contained in the ECS proposal received on December 15, 2000, we have compared the options of purchasing horsepower – hours from ECS with the option of installing gas turbine drivers as currently proposed in the Phase V certificate filing pending before the FERC.</w:t>
      </w:r>
    </w:p>
    <w:p>
      <w:pPr>
        <w:pStyle w:val="Normal"/>
        <w:spacing w:lineRule="auto" w:line="360"/>
        <w:rPr>
          <w:rFonts w:ascii="Arial" w:hAnsi="Arial" w:cs="Arial"/>
          <w:sz w:val="22"/>
        </w:rPr>
      </w:pPr>
      <w:r>
        <w:rPr>
          <w:rFonts w:cs="Arial" w:ascii="Arial" w:hAnsi="Arial"/>
          <w:sz w:val="22"/>
        </w:rPr>
      </w:r>
    </w:p>
    <w:p>
      <w:pPr>
        <w:pStyle w:val="Normal"/>
        <w:spacing w:lineRule="auto" w:line="360"/>
        <w:rPr/>
      </w:pPr>
      <w:r>
        <w:rPr>
          <w:rFonts w:cs="Arial" w:ascii="Arial" w:hAnsi="Arial"/>
          <w:sz w:val="22"/>
        </w:rPr>
        <w:t xml:space="preserve">ECS’ proposal provides for an Annual Payment in dollars, and a Service Charge initially stated in dollars but partially convertible to gas deliveries.  Although ECS’ proposal provides that both ECS and FGT have options to convert a portion of the Service Charge from dollars to gas, the conversion factor would not be established until </w:t>
      </w:r>
      <w:r>
        <w:rPr>
          <w:rFonts w:cs="Arial" w:ascii="Arial" w:hAnsi="Arial"/>
          <w:sz w:val="22"/>
          <w:u w:val="single"/>
        </w:rPr>
        <w:t>after</w:t>
      </w:r>
      <w:r>
        <w:rPr>
          <w:rFonts w:cs="Arial" w:ascii="Arial" w:hAnsi="Arial"/>
          <w:sz w:val="22"/>
        </w:rPr>
        <w:t xml:space="preserve"> FGT authorized ECS to lock in a power price provision.  Since the conversion options guarantee FGT’s right to convert only 25% of the Service Charge to gas – at an unknown conversion factor – the ECS proposal has been treated as if all payments would be in dollars for the purposes of analysis.</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Using the terms of the ECS proposal (in dollars) and the cost of the gas turbine option (in dollars and fuel gas), a break-even cost of gas was calculated at which both proposals would be economically equal.  The break-even price of gas is calculated to be $5.19/MMBtu.  (The calculation reflects the increased operation and maintenance expenses of gas turbine drivers resulting from the projected load profile which would necessitate the frequent starting and stopping of the units.)  Expected gas prices below $5.19 for 20 years would favor the gas turbine option while prices above $5.19 would favor purchased horsepower, all other factors being equal.  It is our understanding that a 10 year gas strip can be obtained for about $4.00 - $4.10/MMBtu.  Therefore, the economic analysis would indicate the gas turbines to be the prudent option.</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In addition to the economic analysis described above, other factors also indicate that the gas turbines would be preferable to the purchased horsepower proposal.  First, as previously mentioned, FGT would be able to convert only 25% of the Service Charge from dollars to gas without the consent of ECS, and a maximum 75% even with ECS’ approval.  Any portion payable in dollars would have to be collected through a purchased power surcharge – in $/MMBtu – which would be applicable to both FTS-1 and FTS-2 shippers.  While this surcharge would be in lieu of gas which would otherwise be provided by all shippers, the application of this rate to all shippers could (erroneously) be viewed as a subsidy  In addition, the conversion factor to convert a portion of the Service Charge from dollars to gas would not be established until after FGT authorized ECS to lock in a power price provision and, presumably, became responsible for potentially significant unwinding expense.  If the conversion factor resulted in a fuel rate which exceeded the fuel which would be consumed by the gas turbines, there could be further issues with FGT customers and FERC Staff and, at that point, FGT could not terminate the agreement without incurring possibly substantial unwinding expenses.  Finally, depending on the future movement of gas and power forward curves, the actual terms of the ECS proposal may be even more unfavorable than those contained in the December 15, 2000 transmittal, and almost certainly would not improve.</w:t>
      </w:r>
    </w:p>
    <w:p>
      <w:pPr>
        <w:pStyle w:val="Normal"/>
        <w:spacing w:lineRule="auto" w:line="360"/>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For all of the above reasons it is the unanimous recommendation of the Electric Compression Analysis Team to install gas turbine drivers at Station 27.</w:t>
      </w:r>
    </w:p>
    <w:p>
      <w:pPr>
        <w:pStyle w:val="Normal"/>
        <w:spacing w:lineRule="auto" w:line="360"/>
        <w:rPr>
          <w:rFonts w:ascii="Arial" w:hAnsi="Arial" w:cs="Arial"/>
          <w:sz w:val="22"/>
        </w:rPr>
      </w:pPr>
      <w:r>
        <w:rPr>
          <w:rFonts w:cs="Arial" w:ascii="Arial" w:hAnsi="Arial"/>
          <w:sz w:val="22"/>
        </w:rPr>
      </w:r>
    </w:p>
    <w:p>
      <w:pPr>
        <w:pStyle w:val="Normal"/>
        <w:rPr>
          <w:rFonts w:ascii="Arial" w:hAnsi="Arial" w:cs="Arial"/>
          <w:sz w:val="22"/>
          <w:u w:val="single"/>
        </w:rPr>
      </w:pPr>
      <w:r>
        <w:rPr>
          <w:rFonts w:cs="Arial" w:ascii="Arial" w:hAnsi="Arial"/>
          <w:sz w:val="22"/>
          <w:u w:val="single"/>
        </w:rPr>
        <w:t>Electric Compression Analysis Team:</w:t>
      </w:r>
    </w:p>
    <w:p>
      <w:pPr>
        <w:pStyle w:val="Normal"/>
        <w:rPr>
          <w:rFonts w:ascii="Arial" w:hAnsi="Arial" w:cs="Arial"/>
          <w:sz w:val="22"/>
        </w:rPr>
      </w:pPr>
      <w:r>
        <w:rPr>
          <w:rFonts w:cs="Arial" w:ascii="Arial" w:hAnsi="Arial"/>
          <w:sz w:val="22"/>
        </w:rPr>
        <w:t>Jim Alexander</w:t>
      </w:r>
    </w:p>
    <w:p>
      <w:pPr>
        <w:pStyle w:val="Normal"/>
        <w:rPr>
          <w:rFonts w:ascii="Arial" w:hAnsi="Arial" w:cs="Arial"/>
          <w:sz w:val="22"/>
        </w:rPr>
      </w:pPr>
      <w:r>
        <w:rPr>
          <w:rFonts w:cs="Arial" w:ascii="Arial" w:hAnsi="Arial"/>
          <w:sz w:val="22"/>
        </w:rPr>
        <w:t>Sharon Farrell</w:t>
      </w:r>
    </w:p>
    <w:p>
      <w:pPr>
        <w:pStyle w:val="Normal"/>
        <w:rPr>
          <w:rFonts w:ascii="Arial" w:hAnsi="Arial" w:cs="Arial"/>
          <w:sz w:val="22"/>
        </w:rPr>
      </w:pPr>
      <w:r>
        <w:rPr>
          <w:rFonts w:cs="Arial" w:ascii="Arial" w:hAnsi="Arial"/>
          <w:sz w:val="22"/>
        </w:rPr>
        <w:t>Staci Holtzman</w:t>
      </w:r>
    </w:p>
    <w:p>
      <w:pPr>
        <w:pStyle w:val="Normal"/>
        <w:rPr>
          <w:rFonts w:ascii="Arial" w:hAnsi="Arial" w:cs="Arial"/>
          <w:sz w:val="22"/>
        </w:rPr>
      </w:pPr>
      <w:r>
        <w:rPr>
          <w:rFonts w:cs="Arial" w:ascii="Arial" w:hAnsi="Arial"/>
          <w:sz w:val="22"/>
        </w:rPr>
        <w:t>Blair Lichtenwalter</w:t>
      </w:r>
    </w:p>
    <w:p>
      <w:pPr>
        <w:pStyle w:val="Normal"/>
        <w:rPr>
          <w:rFonts w:ascii="Arial" w:hAnsi="Arial" w:cs="Arial"/>
          <w:sz w:val="22"/>
        </w:rPr>
      </w:pPr>
      <w:r>
        <w:rPr>
          <w:rFonts w:cs="Arial" w:ascii="Arial" w:hAnsi="Arial"/>
          <w:sz w:val="22"/>
        </w:rPr>
        <w:t>Teb Lokey</w:t>
      </w:r>
    </w:p>
    <w:p>
      <w:pPr>
        <w:pStyle w:val="Normal"/>
        <w:rPr>
          <w:rFonts w:ascii="Arial" w:hAnsi="Arial" w:cs="Arial"/>
          <w:sz w:val="22"/>
        </w:rPr>
      </w:pPr>
      <w:r>
        <w:rPr>
          <w:rFonts w:cs="Arial" w:ascii="Arial" w:hAnsi="Arial"/>
          <w:sz w:val="22"/>
        </w:rPr>
        <w:t>David Sztroin</w:t>
      </w:r>
    </w:p>
    <w:p>
      <w:pPr>
        <w:pStyle w:val="Normal"/>
        <w:rPr>
          <w:rFonts w:ascii="Arial" w:hAnsi="Arial" w:cs="Arial"/>
          <w:sz w:val="22"/>
        </w:rPr>
      </w:pPr>
      <w:r>
        <w:rPr>
          <w:rFonts w:cs="Arial" w:ascii="Arial" w:hAnsi="Arial"/>
          <w:sz w:val="22"/>
        </w:rPr>
        <w:t>Denis Tu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2001-01-08T12:04:00Z</dcterms:created>
  <dc:creator>zpascha</dc:creator>
  <dc:description/>
  <dc:language>en-CA</dc:language>
  <cp:lastModifiedBy>zpascha</cp:lastModifiedBy>
  <cp:lastPrinted>2001-01-10T14:01:00Z</cp:lastPrinted>
  <dcterms:modified xsi:type="dcterms:W3CDTF">2001-01-10T17:32:00Z</dcterms:modified>
  <cp:revision>6</cp:revision>
  <dc:subject/>
  <dc:title>DRAFT</dc:title>
</cp:coreProperties>
</file>