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OTHER EMPLOYMENT MATTERS - UNION AND NON-UNION EMPLOYEES</w:t>
      </w:r>
    </w:p>
    <w:p>
      <w:pPr>
        <w:pStyle w:val="Normal"/>
        <w:rPr>
          <w:u w:val="single"/>
        </w:rPr>
      </w:pPr>
      <w:r>
        <w:rPr>
          <w:u w:val="single"/>
        </w:rPr>
        <w:t>Liabilities to Employees</w:t>
      </w:r>
    </w:p>
    <w:p>
      <w:pPr>
        <w:pStyle w:val="Normal"/>
        <w:rPr>
          <w:i/>
          <w:i/>
        </w:rPr>
      </w:pPr>
      <w:r>
        <w:rPr>
          <w:i/>
        </w:rPr>
        <w:t>Banked Overtime and Statutory Holiday Pay</w:t>
      </w:r>
    </w:p>
    <w:p>
      <w:pPr>
        <w:pStyle w:val="Normal"/>
        <w:rPr/>
      </w:pPr>
      <w:r>
        <w:rPr/>
        <w:t>Records provided by Celgar indicate that as of November 15, 2000, the company’s non-union employees have overtime and statutory holiday pay valued at approximately C$196,000 remaining in their time banks.</w:t>
      </w:r>
    </w:p>
    <w:p>
      <w:pPr>
        <w:pStyle w:val="Normal"/>
        <w:rPr/>
      </w:pPr>
      <w:r>
        <w:rPr/>
        <w:t>Celgar's records also indicate that as of November 28, 2000, union employees have overtime remaining in their time banks valued at about C$221,000.</w:t>
      </w:r>
    </w:p>
    <w:p>
      <w:pPr>
        <w:pStyle w:val="Normal"/>
        <w:rPr/>
      </w:pPr>
      <w:r>
        <w:rPr/>
        <w:t>The draft asset and purchase agreement stipulates that the trustee shall calculate these obligations as of the Closing Date and shall pay the purchaser the amount of these obligations. The purchaser thereafter will become responsible for these liabilities.</w:t>
      </w:r>
    </w:p>
    <w:p>
      <w:pPr>
        <w:pStyle w:val="Normal"/>
        <w:keepNext w:val="true"/>
        <w:rPr>
          <w:i/>
          <w:i/>
        </w:rPr>
      </w:pPr>
      <w:r>
        <w:rPr>
          <w:i/>
        </w:rPr>
        <w:t>Vacation</w:t>
      </w:r>
    </w:p>
    <w:p>
      <w:pPr>
        <w:pStyle w:val="Normal"/>
        <w:rPr/>
      </w:pPr>
      <w:r>
        <w:rPr/>
        <w:t xml:space="preserve">Celgar's records indicate that, as of November 15, 2000, its non-union employees (not including senior management) have entitlements to approximately C$325,000 in regular, supplementary and banked vacation pay. </w:t>
      </w:r>
    </w:p>
    <w:p>
      <w:pPr>
        <w:pStyle w:val="Normal"/>
        <w:rPr/>
      </w:pPr>
      <w:r>
        <w:rPr/>
        <w:t>The company's records also indicate that its union employees accrued approximately C$1.95 million in vacation pay in 1999 (payable) in 2000, and that as of December 4, 2000, the company has paid out approximately all but C$130,000 of this obligation.</w:t>
      </w:r>
    </w:p>
    <w:p>
      <w:pPr>
        <w:pStyle w:val="Normal"/>
        <w:rPr/>
      </w:pPr>
      <w:r>
        <w:rPr/>
        <w:t>Under the collective agreement, union employees have the right to receive payout of their accrued vacation pay early in the calendar year, rather than when they actually take their vacation. A large proportion of employees take their vacation pay early, with the result that Celgar pays out about C$1 million in accrued vacation pay each January.</w:t>
      </w:r>
    </w:p>
    <w:p>
      <w:pPr>
        <w:pStyle w:val="Normal"/>
        <w:rPr/>
      </w:pPr>
      <w:r>
        <w:rPr/>
        <w:t>Again, the draft purchase and sale agreement stipulates that the trustee shall calculate these obligations as of the Closing Date and shall pay the purchaser the amount of these obligations. The purchaser thereafter will become responsible for these liabilities.</w:t>
      </w:r>
    </w:p>
    <w:p>
      <w:pPr>
        <w:pStyle w:val="Normal"/>
        <w:keepNext w:val="true"/>
        <w:rPr>
          <w:i/>
          <w:i/>
        </w:rPr>
      </w:pPr>
      <w:r>
        <w:rPr>
          <w:i/>
        </w:rPr>
        <w:t>Other Banked Benefits</w:t>
      </w:r>
    </w:p>
    <w:p>
      <w:pPr>
        <w:pStyle w:val="Normal"/>
        <w:rPr/>
      </w:pPr>
      <w:r>
        <w:rPr/>
        <w:t>As of December 4, 2000, Celgar's employees have accumulated approximately 12,500 floater hours, deferred statutory hours and alternate day off hours in their time banks pursuant to the collective agreement. Under the draft asset purchase and sale agreement, the trustee shall calculate these obligations as of the Closing date and pay the purchaser this amount.</w:t>
      </w:r>
    </w:p>
    <w:p>
      <w:pPr>
        <w:pStyle w:val="Normal"/>
        <w:keepNext w:val="true"/>
        <w:rPr>
          <w:i/>
          <w:i/>
        </w:rPr>
      </w:pPr>
      <w:r>
        <w:rPr>
          <w:i/>
        </w:rPr>
        <w:t>Pension Plans</w:t>
      </w:r>
    </w:p>
    <w:p>
      <w:pPr>
        <w:pStyle w:val="Normal"/>
        <w:rPr/>
      </w:pPr>
      <w:r>
        <w:rPr/>
        <w:t>As of January 1, 2000, valuation of Celgar's non-union pension plan disclosed that the going-concern liabilities of the plan exceed the actuarial value of assets by C$1,922,342 and the solvency liabilities exceed the market value of plan assets by $1,805,819.  We are retaining local actuaries to review the most recent valuation of the plan.</w:t>
      </w:r>
    </w:p>
    <w:p>
      <w:pPr>
        <w:pStyle w:val="Normal"/>
        <w:keepNext w:val="true"/>
        <w:rPr>
          <w:u w:val="single"/>
        </w:rPr>
      </w:pPr>
      <w:r>
        <w:rPr>
          <w:u w:val="single"/>
        </w:rPr>
        <w:t>Workers' Compensation Board Rating</w:t>
      </w:r>
    </w:p>
    <w:p>
      <w:pPr>
        <w:pStyle w:val="Normal"/>
        <w:rPr/>
      </w:pPr>
      <w:r>
        <w:rPr/>
        <w:t>Employers in British Columbia are obligated to remit premiums to the Workers' Compensation Board on behalf of all employees. All companies that compete in the same industry are assessed the same base insurance rate. The rate is then adjusted by comparing each company's claims costs with that of other companies in the rate group (referred to as the company's "experience rating").  Claims costs are reviewed on a three-year, rolling basis, weighted toward the most recent year.</w:t>
      </w:r>
    </w:p>
    <w:p>
      <w:pPr>
        <w:pStyle w:val="Normal"/>
        <w:rPr/>
      </w:pPr>
      <w:r>
        <w:rPr/>
        <w:t>Under the WCB's assessment operating policy, the change of ownership at the mill should result in Enron not inheriting Celgar's experience rating. We are confirming this matter with the WCB.</w:t>
      </w:r>
    </w:p>
    <w:p>
      <w:pPr>
        <w:pStyle w:val="Normal"/>
        <w:rPr/>
      </w:pPr>
      <w:r>
        <w:rPr/>
        <w:t>The current rating does, however, provide insight into the mill's current safety record. In 2001, the base premium rate for companies in Celgar's industry classification will be C$1.56 per C$100 of assessable payroll. The WCB has applied Celgar's experience rating, however, to reduce Celgar's premium by 2.1 percent to C$1.55.  Celgar's current experience rating, therefore, operates to reduce its premium rate below the industry average.</w:t>
      </w:r>
    </w:p>
    <w:p>
      <w:pPr>
        <w:pStyle w:val="Normal"/>
        <w:keepNext w:val="true"/>
        <w:rPr>
          <w:u w:val="single"/>
        </w:rPr>
      </w:pPr>
      <w:r>
        <w:rPr>
          <w:u w:val="single"/>
        </w:rPr>
        <w:t>Outstanding Employment-related Legal Proceedings</w:t>
      </w:r>
    </w:p>
    <w:p>
      <w:pPr>
        <w:pStyle w:val="Normal"/>
        <w:keepNext w:val="true"/>
        <w:rPr>
          <w:i/>
          <w:i/>
        </w:rPr>
      </w:pPr>
      <w:r>
        <w:rPr>
          <w:i/>
        </w:rPr>
        <w:t>Common Law</w:t>
      </w:r>
    </w:p>
    <w:p>
      <w:pPr>
        <w:pStyle w:val="Normal"/>
        <w:rPr/>
      </w:pPr>
      <w:r>
        <w:rPr/>
        <w:t>Celgar advises it has terminated four employees (three non-union, one union) in the past 24 months. All four employees have executed releases in exchange for severance packages. Celgar advises there is no outstanding litigation against it for wrongful dismissal and court searches have revealed no such litigation. A review of public records indicates Celgar has not been involved in any wrongful dismissal litigation with employees for the past five years.</w:t>
      </w:r>
    </w:p>
    <w:p>
      <w:pPr>
        <w:pStyle w:val="Normal"/>
        <w:keepNext w:val="true"/>
        <w:rPr>
          <w:i/>
          <w:i/>
        </w:rPr>
      </w:pPr>
      <w:r>
        <w:rPr>
          <w:i/>
        </w:rPr>
        <w:t>Employment Standards</w:t>
      </w:r>
    </w:p>
    <w:p>
      <w:pPr>
        <w:pStyle w:val="Normal"/>
        <w:rPr/>
      </w:pPr>
      <w:r>
        <w:rPr/>
        <w:t xml:space="preserve">Celgar advises there are no outstanding complaints or decisions against it with respect to the </w:t>
      </w:r>
      <w:r>
        <w:rPr>
          <w:i/>
        </w:rPr>
        <w:t>Employment Standards Act</w:t>
      </w:r>
      <w:r>
        <w:rPr/>
        <w:t>. The Employment Standards Branch confirms there are no active claims against Celgar. However, a complainant has six months from the date of a violation file a complaint.</w:t>
      </w:r>
    </w:p>
    <w:p>
      <w:pPr>
        <w:pStyle w:val="Normal"/>
        <w:keepNext w:val="true"/>
        <w:rPr>
          <w:i/>
          <w:i/>
        </w:rPr>
      </w:pPr>
      <w:r>
        <w:rPr>
          <w:i/>
        </w:rPr>
        <w:t>Human Rights</w:t>
      </w:r>
    </w:p>
    <w:p>
      <w:pPr>
        <w:pStyle w:val="Normal"/>
        <w:rPr/>
      </w:pPr>
      <w:r>
        <w:rPr/>
        <w:t>Celgar advises there are no outstanding human rights complaints against it. The B.C. Human Rights Commission confirms there are no proceedings before it involving Celgar. A search of public records reveals Celgar has not been involved in any human rights proceedings in the past five years.</w:t>
      </w:r>
    </w:p>
    <w:p>
      <w:pPr>
        <w:pStyle w:val="Normal"/>
        <w:keepNext w:val="true"/>
        <w:rPr>
          <w:i/>
          <w:i/>
        </w:rPr>
      </w:pPr>
      <w:r>
        <w:rPr>
          <w:i/>
        </w:rPr>
        <w:t>Union Grievances</w:t>
      </w:r>
    </w:p>
    <w:p>
      <w:pPr>
        <w:pStyle w:val="Normal"/>
        <w:widowControl/>
        <w:bidi w:val="0"/>
        <w:spacing w:before="0" w:after="240"/>
        <w:jc w:val="both"/>
        <w:rPr/>
      </w:pPr>
      <w:r>
        <w:rPr/>
        <w:t>Celgar advises there are nine outstanding grievances against it under the collective agreement and has provided the union's grievance forms. The grievances relate, in the main, to disciplinary matters and call-out procedures.</w:t>
      </w:r>
    </w:p>
    <w:sectPr>
      <w:headerReference w:type="default" r:id="rId2"/>
      <w:headerReference w:type="first" r:id="rId3"/>
      <w:footerReference w:type="default" r:id="rId4"/>
      <w:footerReference w:type="first" r:id="rId5"/>
      <w:type w:val="nextPage"/>
      <w:pgSz w:w="12240" w:h="15840"/>
      <w:pgMar w:left="1440" w:right="1440" w:gutter="0" w:header="720" w:top="1152" w:footer="432"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DOCPROPERTY "FooterPath"</w:instrText>
    </w:r>
    <w:r>
      <w:rPr/>
      <w:fldChar w:fldCharType="separate"/>
    </w:r>
    <w:r>
      <w:rPr/>
      <w:t>VANLIT Library:119837.1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DOCPROPERTY "FooterPath"</w:instrText>
    </w:r>
    <w:r>
      <w:rPr/>
      <w:fldChar w:fldCharType="separate"/>
    </w:r>
    <w:r>
      <w:rPr/>
      <w:t>VANLIT Library:119837.1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center"/>
      <w:rPr/>
    </w:pPr>
    <w:r>
      <w:rPr>
        <w:lang w:eastAsia="en-US"/>
      </w:rPr>
      <w:t xml:space="preserv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720" w:hanging="720"/>
      </w:pPr>
      <w:rPr>
        <w:caps/>
        <w:i w:val="false"/>
        <w:b/>
      </w:rPr>
    </w:lvl>
    <w:lvl w:ilvl="1">
      <w:start w:val="1"/>
      <w:pStyle w:val="Heading2"/>
      <w:numFmt w:val="decimal"/>
      <w:lvlText w:val="%1.%2"/>
      <w:lvlJc w:val="start"/>
      <w:pPr>
        <w:tabs>
          <w:tab w:val="num" w:pos="720"/>
        </w:tabs>
        <w:ind w:start="720" w:hanging="720"/>
      </w:pPr>
      <w:rPr>
        <w:i w:val="false"/>
        <w:u w:val="none"/>
        <w:b w:val="false"/>
      </w:rPr>
    </w:lvl>
    <w:lvl w:ilvl="2">
      <w:start w:val="1"/>
      <w:pStyle w:val="Heading3"/>
      <w:numFmt w:val="lowerLetter"/>
      <w:lvlText w:val="(%3)"/>
      <w:lvlJc w:val="start"/>
      <w:pPr>
        <w:tabs>
          <w:tab w:val="num" w:pos="1440"/>
        </w:tabs>
        <w:ind w:start="1440" w:hanging="720"/>
      </w:pPr>
    </w:lvl>
    <w:lvl w:ilvl="3">
      <w:start w:val="1"/>
      <w:pStyle w:val="Heading4"/>
      <w:numFmt w:val="lowerRoman"/>
      <w:lvlText w:val="(%4)"/>
      <w:lvlJc w:val="start"/>
      <w:pPr>
        <w:tabs>
          <w:tab w:val="num" w:pos="2160"/>
        </w:tabs>
        <w:ind w:start="2160" w:hanging="720"/>
      </w:pPr>
    </w:lvl>
    <w:lvl w:ilvl="4">
      <w:start w:val="1"/>
      <w:pStyle w:val="Heading5"/>
      <w:numFmt w:val="decimal"/>
      <w:lvlText w:val="(%1)"/>
      <w:lvlJc w:val="start"/>
      <w:pPr>
        <w:tabs>
          <w:tab w:val="num" w:pos="2880"/>
        </w:tabs>
        <w:ind w:start="2880" w:hanging="720"/>
      </w:pPr>
    </w:lvl>
    <w:lvl w:ilvl="5">
      <w:start w:val="1"/>
      <w:pStyle w:val="Heading6"/>
      <w:numFmt w:val="decimal"/>
      <w:lvlText w:val="%1."/>
      <w:lvlJc w:val="start"/>
      <w:pPr>
        <w:tabs>
          <w:tab w:val="num" w:pos="720"/>
        </w:tabs>
        <w:ind w:start="720" w:hanging="720"/>
      </w:pPr>
    </w:lvl>
    <w:lvl w:ilvl="6">
      <w:start w:val="1"/>
      <w:pStyle w:val="Heading7"/>
      <w:numFmt w:val="lowerLetter"/>
      <w:lvlText w:val="(%7)"/>
      <w:lvlJc w:val="start"/>
      <w:pPr>
        <w:tabs>
          <w:tab w:val="num" w:pos="1440"/>
        </w:tabs>
        <w:ind w:start="1440" w:hanging="720"/>
      </w:pPr>
    </w:lvl>
    <w:lvl w:ilvl="7">
      <w:start w:val="1"/>
      <w:pStyle w:val="Heading8"/>
      <w:numFmt w:val="lowerRoman"/>
      <w:lvlText w:val="(%8)"/>
      <w:lvlJc w:val="start"/>
      <w:pPr>
        <w:tabs>
          <w:tab w:val="num" w:pos="2160"/>
        </w:tabs>
        <w:ind w:start="2160" w:hanging="720"/>
      </w:pPr>
    </w:lvl>
    <w:lvl w:ilvl="8">
      <w:start w:val="1"/>
      <w:pStyle w:val="Heading9"/>
      <w:numFmt w:val="upperLetter"/>
      <w:lvlText w:val="%9."/>
      <w:lvlJc w:val="start"/>
      <w:pPr>
        <w:tabs>
          <w:tab w:val="num" w:pos="720"/>
        </w:tabs>
        <w:ind w:start="720" w:hanging="720"/>
      </w:pPr>
    </w:lvl>
  </w:abstractNum>
  <w:abstractNum w:abstractNumId="2">
    <w:lvl w:ilvl="0">
      <w:start w:val="1"/>
      <w:numFmt w:val="decimal"/>
      <w:lvlText w:val="%1."/>
      <w:lvlJc w:val="start"/>
      <w:pPr>
        <w:tabs>
          <w:tab w:val="num" w:pos="720"/>
        </w:tabs>
        <w:ind w:start="720" w:hanging="720"/>
      </w:pPr>
      <w:rPr>
        <w:sz w:val="24"/>
        <w:i w:val="fals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120" w:after="240"/>
      <w:jc w:val="start"/>
      <w:outlineLvl w:val="0"/>
    </w:pPr>
    <w:rPr>
      <w:b/>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BodyText"/>
    <w:qFormat/>
    <w:pPr>
      <w:numPr>
        <w:ilvl w:val="2"/>
        <w:numId w:val="1"/>
      </w:numPr>
      <w:outlineLvl w:val="2"/>
    </w:pPr>
    <w:rPr/>
  </w:style>
  <w:style w:type="paragraph" w:styleId="Heading4">
    <w:name w:val="heading 4"/>
    <w:basedOn w:val="Normal"/>
    <w:next w:val="BodyText"/>
    <w:qFormat/>
    <w:pPr>
      <w:numPr>
        <w:ilvl w:val="3"/>
        <w:numId w:val="1"/>
      </w:numPr>
      <w:outlineLvl w:val="3"/>
    </w:pPr>
    <w:rPr/>
  </w:style>
  <w:style w:type="paragraph" w:styleId="Heading5">
    <w:name w:val="heading 5"/>
    <w:basedOn w:val="Normal"/>
    <w:next w:val="BodyText"/>
    <w:qFormat/>
    <w:pPr>
      <w:numPr>
        <w:ilvl w:val="4"/>
        <w:numId w:val="1"/>
      </w:numPr>
      <w:outlineLvl w:val="4"/>
    </w:pPr>
    <w:rPr/>
  </w:style>
  <w:style w:type="paragraph" w:styleId="Heading6">
    <w:name w:val="heading 6"/>
    <w:next w:val="Normal"/>
    <w:qFormat/>
    <w:pPr>
      <w:widowControl/>
      <w:numPr>
        <w:ilvl w:val="5"/>
        <w:numId w:val="1"/>
      </w:numPr>
      <w:bidi w:val="0"/>
      <w:spacing w:before="0" w:after="240"/>
      <w:jc w:val="both"/>
      <w:outlineLvl w:val="5"/>
    </w:pPr>
    <w:rPr>
      <w:rFonts w:ascii="Times New Roman" w:hAnsi="Times New Roman" w:eastAsia="Times New Roman" w:cs="Times New Roman"/>
      <w:color w:val="auto"/>
      <w:sz w:val="24"/>
      <w:szCs w:val="20"/>
      <w:lang w:val="en-CA" w:eastAsia="zh-CN" w:bidi="hi-IN"/>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1z0">
    <w:name w:val="WW8Num1z0"/>
    <w:qFormat/>
    <w:rPr>
      <w:b/>
      <w:i w:val="false"/>
      <w:caps/>
    </w:rPr>
  </w:style>
  <w:style w:type="character" w:styleId="WW8Num1z1">
    <w:name w:val="WW8Num1z1"/>
    <w:qFormat/>
    <w:rPr>
      <w:b w:val="false"/>
      <w:i w:val="false"/>
      <w:u w:val="none"/>
    </w:rPr>
  </w:style>
  <w:style w:type="character" w:styleId="WW8Num2z0">
    <w:name w:val="WW8Num2z0"/>
    <w:qFormat/>
    <w:rPr>
      <w:rFonts w:ascii="Times New Roman" w:hAnsi="Times New Roman" w:cs="Times New Roman"/>
      <w:b w:val="false"/>
      <w:i w:val="false"/>
      <w:sz w:val="24"/>
    </w:rPr>
  </w:style>
  <w:style w:type="character" w:styleId="WW8Num3z0">
    <w:name w:val="WW8Num3z0"/>
    <w:qFormat/>
    <w:rPr>
      <w:b/>
      <w:i w:val="false"/>
      <w:caps/>
      <w:u w:val="none"/>
    </w:rPr>
  </w:style>
  <w:style w:type="character" w:styleId="WW8Num3z1">
    <w:name w:val="WW8Num3z1"/>
    <w:qFormat/>
    <w:rPr>
      <w:u w:val="none"/>
    </w:rPr>
  </w:style>
  <w:style w:type="character" w:styleId="WW8Num4z0">
    <w:name w:val="WW8Num4z0"/>
    <w:qFormat/>
    <w:rPr>
      <w:rFonts w:ascii="Times New Roman" w:hAnsi="Times New Roman" w:cs="Times New Roman"/>
      <w:b w:val="false"/>
      <w:i w:val="false"/>
      <w:sz w:val="24"/>
      <w:u w:val="none"/>
    </w:rPr>
  </w:style>
  <w:style w:type="character" w:styleId="WW8Num5z0">
    <w:name w:val="WW8Num5z0"/>
    <w:qFormat/>
    <w:rPr>
      <w:rFonts w:ascii="Times New Roman Bold" w:hAnsi="Times New Roman Bold" w:cs="Times New Roman Bold"/>
      <w:b/>
      <w:i w:val="false"/>
      <w:caps/>
      <w:u w:val="none"/>
    </w:rPr>
  </w:style>
  <w:style w:type="character" w:styleId="WW8Num5z1">
    <w:name w:val="WW8Num5z1"/>
    <w:qFormat/>
    <w:rPr>
      <w:u w:val="none"/>
    </w:rPr>
  </w:style>
  <w:style w:type="character" w:styleId="WW8Num6z0">
    <w:name w:val="WW8Num6z0"/>
    <w:qFormat/>
    <w:rPr>
      <w:rFonts w:ascii="Times New Roman" w:hAnsi="Times New Roman" w:cs="Times New Roman"/>
      <w:b w:val="false"/>
      <w:i w:val="false"/>
      <w:caps/>
      <w:sz w:val="24"/>
    </w:rPr>
  </w:style>
  <w:style w:type="character" w:styleId="WW8Num6z1">
    <w:name w:val="WW8Num6z1"/>
    <w:qFormat/>
    <w:rPr>
      <w:rFonts w:ascii="Times New Roman" w:hAnsi="Times New Roman" w:cs="Times New Roman"/>
      <w:b w:val="false"/>
      <w:i w:val="false"/>
    </w:rPr>
  </w:style>
  <w:style w:type="character" w:styleId="WW8Num6z2">
    <w:name w:val="WW8Num6z2"/>
    <w:qFormat/>
    <w:rPr>
      <w:rFonts w:ascii="Times New Roman" w:hAnsi="Times New Roman" w:cs="Times New Roma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0"/>
      <w:jc w:val="both"/>
    </w:pPr>
    <w:rPr>
      <w:rFonts w:ascii="Arial" w:hAnsi="Arial" w:cs="Arial"/>
      <w:sz w:val="22"/>
      <w:lang w:val="en-GB"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er">
    <w:name w:val="footer"/>
    <w:basedOn w:val="Normal"/>
    <w:pPr>
      <w:tabs>
        <w:tab w:val="clear" w:pos="720"/>
        <w:tab w:val="center" w:pos="4320" w:leader="none"/>
        <w:tab w:val="right" w:pos="8640" w:leader="none"/>
      </w:tabs>
    </w:pPr>
    <w:rPr>
      <w:sz w:val="16"/>
    </w:rPr>
  </w:style>
  <w:style w:type="paragraph" w:styleId="TOC2">
    <w:name w:val="toc 2"/>
    <w:basedOn w:val="Normal"/>
    <w:next w:val="Normal"/>
    <w:pPr>
      <w:spacing w:before="2" w:after="2"/>
      <w:ind w:hanging="720" w:start="1440" w:end="0"/>
    </w:pPr>
    <w:rPr>
      <w:lang w:val="en-CA"/>
    </w:rPr>
  </w:style>
  <w:style w:type="paragraph" w:styleId="TOC1">
    <w:name w:val="toc 1"/>
    <w:basedOn w:val="Normal"/>
    <w:next w:val="Normal"/>
    <w:pPr>
      <w:keepNext w:val="true"/>
      <w:tabs>
        <w:tab w:val="left" w:pos="720" w:leader="none"/>
        <w:tab w:val="right" w:pos="9350" w:leader="dot"/>
      </w:tabs>
      <w:spacing w:before="60" w:after="10"/>
    </w:pPr>
    <w:rPr>
      <w:b/>
      <w:lang w:val="en-CA"/>
    </w:rPr>
  </w:style>
  <w:style w:type="paragraph" w:styleId="1TITLE">
    <w:name w:val="1. TITLE"/>
    <w:basedOn w:val="Normal"/>
    <w:next w:val="Normal"/>
    <w:qFormat/>
    <w:pPr>
      <w:numPr>
        <w:ilvl w:val="0"/>
        <w:numId w:val="2"/>
      </w:numPr>
    </w:pPr>
    <w:rPr>
      <w:rFonts w:ascii="Times New Roman Bold" w:hAnsi="Times New Roman Bold" w:cs="Times New Roman Bold"/>
      <w:b/>
      <w:u w:val="single"/>
    </w:rPr>
  </w:style>
  <w:style w:type="paragraph" w:styleId="PlainText">
    <w:name w:val="Plain Text"/>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2000-12-08T00:40:00Z</dcterms:created>
  <dc:creator>Cheryl Mohagen</dc:creator>
  <dc:description/>
  <dc:language>en-CA</dc:language>
  <cp:lastModifiedBy>Cheryl Mohagen</cp:lastModifiedBy>
  <cp:lastPrinted>2000-12-07T19:18:00Z</cp:lastPrinted>
  <dcterms:modified xsi:type="dcterms:W3CDTF">2000-12-08T01:06:00Z</dcterms:modified>
  <cp:revision>7</cp:revision>
  <dc:subject/>
  <dc:title>OTHER EMPLOYMENT MATTERS - UNION AND NON-UNION EMPLOYEES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VANLIT Library:119837.1</vt:lpwstr>
  </property>
</Properties>
</file>