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rPr>
                <w:b/>
              </w:rPr>
            </w:pPr>
            <w:r>
              <w:rPr>
                <w:b/>
              </w:rPr>
              <w:t>Other Provisions:</w:t>
            </w:r>
            <w:r>
              <w:rPr>
                <w:b/>
              </w:rPr>
              <w:fldChar w:fldCharType="begin"/>
            </w:r>
            <w:r>
              <w:rPr>
                <w:b/>
              </w:rPr>
              <w:instrText xml:space="preserve"> MERGEFIELD AlternatePriceLit </w:instrText>
            </w:r>
            <w:r>
              <w:rPr>
                <w:b/>
              </w:rPr>
              <w:fldChar w:fldCharType="separate"/>
            </w:r>
            <w:r>
              <w:rPr>
                <w:b/>
              </w:rPr>
              <w:t xml:space="preserve"> </w:t>
            </w:r>
            <w:r>
              <w:rPr>
                <w:b/>
              </w:rPr>
              <w:fldChar w:fldCharType="end"/>
            </w:r>
          </w:p>
        </w:tc>
        <w:tc>
          <w:tcPr>
            <w:tcW w:w="5814" w:type="dxa"/>
            <w:tcBorders/>
          </w:tcPr>
          <w:p>
            <w:pPr>
              <w:pStyle w:val="Normal"/>
              <w:jc w:val="both"/>
              <w:rPr/>
            </w:pPr>
            <w:r>
              <w:rPr/>
              <w:t>(i)  With respect to this Transaction only, on or before 5:00 p.m. (Houston time) on Tuesday, March 21, 2000, Counterparty shall deliver to ENA Performance Assurance in the form of a Letter of Credit in the amount of $1,000,000 (the “</w:t>
            </w:r>
            <w:r>
              <w:rPr>
                <w:u w:val="single"/>
              </w:rPr>
              <w:t>Additional Amount</w:t>
            </w:r>
            <w:r>
              <w:rPr/>
              <w:t>”) from a bank acceptable to ENA in its sole discretion, which Additional Amount shall be maintained in favor of ENA in accordance with the terms of the Agreement.  For the purposes of this provision, International Bank of Commerce (“IBC”) shall constitute a bank acceptable to ENA and the lack of Credit Rating of IBC shall not cause a Letter of Credit Default or other similar default under the Agreement.  In addition to the Additional Amount, Counterparty shall establish, maintain, renew, substitute or increase the Performance Assurance as required by the Agreement.</w:t>
            </w:r>
          </w:p>
          <w:p>
            <w:pPr>
              <w:pStyle w:val="Normal"/>
              <w:jc w:val="both"/>
              <w:rPr/>
            </w:pPr>
            <w:r>
              <w:rPr/>
            </w:r>
          </w:p>
          <w:p>
            <w:pPr>
              <w:pStyle w:val="Normal"/>
              <w:numPr>
                <w:ilvl w:val="0"/>
                <w:numId w:val="1"/>
              </w:numPr>
              <w:jc w:val="both"/>
              <w:rPr/>
            </w:pPr>
            <w:r>
              <w:rPr/>
              <w:t>Each party shall deliver all documents required under Section 12(E) on or before close of business on Friday, March 24, 2000</w:t>
            </w:r>
          </w:p>
          <w:p>
            <w:pPr>
              <w:pStyle w:val="Normal"/>
              <w:numPr>
                <w:ilvl w:val="0"/>
                <w:numId w:val="1"/>
              </w:numPr>
              <w:jc w:val="both"/>
              <w:rPr/>
            </w:pPr>
            <w:r>
              <w:rPr/>
              <w:t>Capitalized terms used but not otherwise defined herein shall have the meanings ascribed to them in the Agreement</w:t>
            </w:r>
          </w:p>
          <w:p>
            <w:pPr>
              <w:pStyle w:val="Normal"/>
              <w:jc w:val="both"/>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2000-03-21T13:31:00Z</dcterms:created>
  <dc:creator>sflynn2</dc:creator>
  <dc:description/>
  <dc:language>en-CA</dc:language>
  <cp:lastModifiedBy>sshackl</cp:lastModifiedBy>
  <cp:lastPrinted>2000-03-20T16:45:00Z</cp:lastPrinted>
  <dcterms:modified xsi:type="dcterms:W3CDTF">2000-03-21T13:38:00Z</dcterms:modified>
  <cp:revision>7</cp:revision>
  <dc:subject/>
  <dc:title>Other Credit Provisions: </dc:title>
</cp:coreProperties>
</file>