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BAKER &amp; TICK, LLC</w:t>
      </w:r>
    </w:p>
    <w:p>
      <w:pPr>
        <w:pStyle w:val="Normal"/>
        <w:jc w:val="center"/>
        <w:rPr>
          <w:b/>
          <w:bCs/>
          <w:sz w:val="28"/>
        </w:rPr>
      </w:pPr>
      <w:r>
        <w:rPr>
          <w:b/>
          <w:bCs/>
          <w:sz w:val="28"/>
        </w:rPr>
      </w:r>
    </w:p>
    <w:p>
      <w:pPr>
        <w:pStyle w:val="Subtitle"/>
        <w:rPr>
          <w:sz w:val="24"/>
        </w:rPr>
      </w:pPr>
      <w:r>
        <w:rPr>
          <w:sz w:val="24"/>
        </w:rPr>
        <w:t>MEMORANDUM</w:t>
      </w:r>
    </w:p>
    <w:p>
      <w:pPr>
        <w:pStyle w:val="Normal"/>
        <w:jc w:val="both"/>
        <w:rPr>
          <w:b/>
          <w:bCs/>
          <w:sz w:val="24"/>
          <w:u w:val="single"/>
        </w:rPr>
      </w:pPr>
      <w:r>
        <w:rPr>
          <w:b/>
          <w:bCs/>
          <w:sz w:val="24"/>
          <w:u w:val="single"/>
        </w:rPr>
      </w:r>
    </w:p>
    <w:p>
      <w:pPr>
        <w:pStyle w:val="Normal"/>
        <w:jc w:val="both"/>
        <w:rPr/>
      </w:pPr>
      <w:r>
        <w:rPr>
          <w:b/>
          <w:bCs/>
        </w:rPr>
        <w:t>TO:</w:t>
        <w:tab/>
        <w:tab/>
      </w:r>
      <w:r>
        <w:rPr/>
        <w:t>Pat Long and Tom Moore</w:t>
      </w:r>
    </w:p>
    <w:p>
      <w:pPr>
        <w:pStyle w:val="Normal"/>
        <w:jc w:val="both"/>
        <w:rPr>
          <w:b/>
          <w:bCs/>
        </w:rPr>
      </w:pPr>
      <w:r>
        <w:rPr>
          <w:b/>
          <w:bCs/>
        </w:rPr>
      </w:r>
    </w:p>
    <w:p>
      <w:pPr>
        <w:pStyle w:val="Normal"/>
        <w:jc w:val="both"/>
        <w:rPr/>
      </w:pPr>
      <w:r>
        <w:rPr>
          <w:b/>
          <w:bCs/>
        </w:rPr>
        <w:t>FROM:</w:t>
        <w:tab/>
      </w:r>
      <w:r>
        <w:rPr/>
        <w:t>Stephen Tick</w:t>
      </w:r>
    </w:p>
    <w:p>
      <w:pPr>
        <w:pStyle w:val="Normal"/>
        <w:jc w:val="both"/>
        <w:rPr/>
      </w:pPr>
      <w:r>
        <w:rPr/>
      </w:r>
    </w:p>
    <w:p>
      <w:pPr>
        <w:pStyle w:val="Normal"/>
        <w:jc w:val="both"/>
        <w:rPr/>
      </w:pPr>
      <w:r>
        <w:rPr>
          <w:b/>
          <w:bCs/>
        </w:rPr>
        <w:t>COPY:</w:t>
        <w:tab/>
      </w:r>
      <w:r>
        <w:rPr/>
        <w:t>Dan Lyons, Philip Segrest, Richard Sanders, David Harvin</w:t>
      </w:r>
    </w:p>
    <w:p>
      <w:pPr>
        <w:pStyle w:val="Normal"/>
        <w:jc w:val="both"/>
        <w:rPr/>
      </w:pPr>
      <w:r>
        <w:rPr/>
      </w:r>
    </w:p>
    <w:p>
      <w:pPr>
        <w:pStyle w:val="Normal"/>
        <w:jc w:val="both"/>
        <w:rPr/>
      </w:pPr>
      <w:r>
        <w:rPr>
          <w:b/>
          <w:bCs/>
        </w:rPr>
        <w:t>DATE:</w:t>
        <w:tab/>
      </w:r>
      <w:r>
        <w:rPr/>
        <w:t>October 22, 2000</w:t>
      </w:r>
    </w:p>
    <w:p>
      <w:pPr>
        <w:pStyle w:val="Normal"/>
        <w:jc w:val="both"/>
        <w:rPr>
          <w:b/>
          <w:bCs/>
        </w:rPr>
      </w:pPr>
      <w:r>
        <w:rPr>
          <w:b/>
          <w:bCs/>
        </w:rPr>
      </w:r>
    </w:p>
    <w:p>
      <w:pPr>
        <w:pStyle w:val="Normal"/>
        <w:jc w:val="both"/>
        <w:rPr/>
      </w:pPr>
      <w:r>
        <w:rPr>
          <w:b/>
          <w:bCs/>
        </w:rPr>
        <w:t>SUBJECT:</w:t>
        <w:tab/>
      </w:r>
      <w:r>
        <w:rPr/>
        <w:t>Confirmation and</w:t>
      </w:r>
      <w:r>
        <w:rPr>
          <w:b/>
          <w:bCs/>
        </w:rPr>
        <w:t xml:space="preserve"> </w:t>
      </w:r>
      <w:r>
        <w:rPr/>
        <w:t>Statement of Issues For The Meeting of Lawyers</w:t>
      </w:r>
    </w:p>
    <w:p>
      <w:pPr>
        <w:pStyle w:val="Normal"/>
        <w:jc w:val="both"/>
        <w:rPr/>
      </w:pPr>
      <w:r>
        <w:rPr/>
      </w:r>
    </w:p>
    <w:p>
      <w:pPr>
        <w:pStyle w:val="Normal"/>
        <w:jc w:val="both"/>
        <w:rPr/>
      </w:pPr>
      <w:r>
        <w:rPr/>
        <w:t>I am pleased to announced that we have settled on November 10</w:t>
      </w:r>
      <w:r>
        <w:rPr>
          <w:vertAlign w:val="superscript"/>
        </w:rPr>
        <w:t>th</w:t>
      </w:r>
      <w:r>
        <w:rPr/>
        <w:t xml:space="preserve"> as the date of the meeting of lawyers. The meeting will be held in Houston and I assume that Dan will let all of us know where the meeting will be held. I recommend that we start at 9:00 AM and continue until we accomplish the task at hand.</w:t>
      </w:r>
    </w:p>
    <w:p>
      <w:pPr>
        <w:pStyle w:val="Normal"/>
        <w:jc w:val="both"/>
        <w:rPr/>
      </w:pPr>
      <w:r>
        <w:rPr/>
      </w:r>
    </w:p>
    <w:p>
      <w:pPr>
        <w:pStyle w:val="Normal"/>
        <w:jc w:val="both"/>
        <w:rPr/>
      </w:pPr>
      <w:r>
        <w:rPr/>
        <w:t xml:space="preserve">As you all know, the purpose of the meeting is to discuss the proper measure of damages that would be applied in the event that Brazos was found to have wrongfully repudiated the PPA. </w:t>
      </w:r>
    </w:p>
    <w:p>
      <w:pPr>
        <w:pStyle w:val="Normal"/>
        <w:jc w:val="both"/>
        <w:rPr/>
      </w:pPr>
      <w:r>
        <w:rPr/>
      </w:r>
    </w:p>
    <w:p>
      <w:pPr>
        <w:pStyle w:val="Normal"/>
        <w:jc w:val="both"/>
        <w:rPr/>
      </w:pPr>
      <w:r>
        <w:rPr/>
        <w:t xml:space="preserve">To make the meeting successful, I believe that we need to develop an agreed upon statement of the issues. To get the ball rolling, I have developed a list of the issues for your consideration. I would appreciate it if the two of you could discuss the list with your respective teams and, on behalf of your teams, let me know whether you agree with the list and, if not, how you would change the list. I would appreciate that response by October 27, 2000, and that the response be in the form of specific additions or changes to the list, not general comments. After hearing from both of you, I will finalize the list and send it back to you and to each other person that is receiving a copy of this memo. </w:t>
      </w:r>
    </w:p>
    <w:p>
      <w:pPr>
        <w:pStyle w:val="Normal"/>
        <w:jc w:val="both"/>
        <w:rPr/>
      </w:pPr>
      <w:r>
        <w:rPr/>
      </w:r>
    </w:p>
    <w:p>
      <w:pPr>
        <w:pStyle w:val="Heading1"/>
        <w:ind w:hanging="0" w:start="0"/>
        <w:rPr>
          <w:sz w:val="24"/>
        </w:rPr>
      </w:pPr>
      <w:r>
        <w:rPr>
          <w:sz w:val="24"/>
        </w:rPr>
        <w:t>STATEMENT OF ISSUES</w:t>
      </w:r>
    </w:p>
    <w:p>
      <w:pPr>
        <w:pStyle w:val="Normal"/>
        <w:jc w:val="center"/>
        <w:rPr>
          <w:b/>
          <w:bCs/>
          <w:sz w:val="24"/>
        </w:rPr>
      </w:pPr>
      <w:r>
        <w:rPr>
          <w:b/>
          <w:bCs/>
          <w:sz w:val="24"/>
        </w:rPr>
      </w:r>
    </w:p>
    <w:p>
      <w:pPr>
        <w:pStyle w:val="Normal"/>
        <w:numPr>
          <w:ilvl w:val="0"/>
          <w:numId w:val="3"/>
        </w:numPr>
        <w:jc w:val="both"/>
        <w:rPr/>
      </w:pPr>
      <w:r>
        <w:rPr/>
        <w:t>What law governs, the common law of Texas or the Uniform Commercial Code as adopted in Texas</w:t>
      </w:r>
      <w:r>
        <w:rPr>
          <w:rStyle w:val="FootnoteCharacters"/>
          <w:rStyle w:val="FootnoteReference"/>
        </w:rPr>
        <w:footnoteReference w:id="2"/>
      </w:r>
      <w:r>
        <w:rPr/>
        <w:t xml:space="preserve">? </w:t>
      </w:r>
    </w:p>
    <w:p>
      <w:pPr>
        <w:pStyle w:val="Normal"/>
        <w:numPr>
          <w:ilvl w:val="0"/>
          <w:numId w:val="2"/>
        </w:numPr>
        <w:jc w:val="both"/>
        <w:rPr/>
      </w:pPr>
      <w:r>
        <w:rPr/>
        <w:t>Is electricity a “good” as defined in the UCC?</w:t>
      </w:r>
    </w:p>
    <w:p>
      <w:pPr>
        <w:pStyle w:val="Normal"/>
        <w:jc w:val="both"/>
        <w:rPr/>
      </w:pPr>
      <w:r>
        <w:rPr/>
      </w:r>
    </w:p>
    <w:p>
      <w:pPr>
        <w:pStyle w:val="Normal"/>
        <w:numPr>
          <w:ilvl w:val="0"/>
          <w:numId w:val="3"/>
        </w:numPr>
        <w:jc w:val="both"/>
        <w:rPr/>
      </w:pPr>
      <w:r>
        <w:rPr/>
        <w:t>Under both common law and the UCC:</w:t>
      </w:r>
    </w:p>
    <w:p>
      <w:pPr>
        <w:pStyle w:val="Normal"/>
        <w:numPr>
          <w:ilvl w:val="0"/>
          <w:numId w:val="2"/>
        </w:numPr>
        <w:jc w:val="both"/>
        <w:rPr/>
      </w:pPr>
      <w:r>
        <w:rPr/>
        <w:t>Would the proper measure of damages be the damages provided for in Section 11.02 of the PPA?</w:t>
      </w:r>
    </w:p>
    <w:p>
      <w:pPr>
        <w:pStyle w:val="Normal"/>
        <w:numPr>
          <w:ilvl w:val="0"/>
          <w:numId w:val="2"/>
        </w:numPr>
        <w:jc w:val="both"/>
        <w:rPr/>
      </w:pPr>
      <w:r>
        <w:rPr/>
        <w:t>If Section 11.02 is found not to be the governing measure of damages, would the proper measure of damages be the difference between “contract” and “market”? If so:</w:t>
      </w:r>
    </w:p>
    <w:p>
      <w:pPr>
        <w:pStyle w:val="Normal"/>
        <w:numPr>
          <w:ilvl w:val="1"/>
          <w:numId w:val="2"/>
        </w:numPr>
        <w:jc w:val="both"/>
        <w:rPr/>
      </w:pPr>
      <w:r>
        <w:rPr/>
        <w:t>Would the “contract” portion of the formula include the escalators built into the contract?</w:t>
      </w:r>
    </w:p>
    <w:p>
      <w:pPr>
        <w:pStyle w:val="Normal"/>
        <w:numPr>
          <w:ilvl w:val="1"/>
          <w:numId w:val="2"/>
        </w:numPr>
        <w:jc w:val="both"/>
        <w:rPr/>
      </w:pPr>
      <w:r>
        <w:rPr/>
        <w:t>What would be the relevant “market” for determining the damages?</w:t>
      </w:r>
    </w:p>
    <w:p>
      <w:pPr>
        <w:pStyle w:val="Normal"/>
        <w:numPr>
          <w:ilvl w:val="2"/>
          <w:numId w:val="2"/>
        </w:numPr>
        <w:jc w:val="both"/>
        <w:rPr/>
      </w:pPr>
      <w:r>
        <w:rPr/>
        <w:t>Spot versus long term contracts.</w:t>
      </w:r>
    </w:p>
    <w:p>
      <w:pPr>
        <w:pStyle w:val="Normal"/>
        <w:numPr>
          <w:ilvl w:val="2"/>
          <w:numId w:val="2"/>
        </w:numPr>
        <w:jc w:val="both"/>
        <w:rPr/>
      </w:pPr>
      <w:r>
        <w:rPr/>
        <w:t>ERCOT versus a regional or national test.</w:t>
      </w:r>
    </w:p>
    <w:p>
      <w:pPr>
        <w:pStyle w:val="Normal"/>
        <w:numPr>
          <w:ilvl w:val="2"/>
          <w:numId w:val="2"/>
        </w:numPr>
        <w:jc w:val="both"/>
        <w:rPr/>
      </w:pPr>
      <w:r>
        <w:rPr/>
        <w:t>Evidence of market.</w:t>
      </w:r>
    </w:p>
    <w:p>
      <w:pPr>
        <w:pStyle w:val="Normal"/>
        <w:numPr>
          <w:ilvl w:val="1"/>
          <w:numId w:val="2"/>
        </w:numPr>
        <w:jc w:val="both"/>
        <w:rPr/>
      </w:pPr>
      <w:r>
        <w:rPr/>
        <w:t>Would Brazos be entitled to a credit against any resulting damages as a result of the favorable gas contracts? If so, how would that credit be measured?</w:t>
      </w:r>
    </w:p>
    <w:p>
      <w:pPr>
        <w:pStyle w:val="Normal"/>
        <w:numPr>
          <w:ilvl w:val="1"/>
          <w:numId w:val="2"/>
        </w:numPr>
        <w:jc w:val="both"/>
        <w:rPr/>
      </w:pPr>
      <w:r>
        <w:rPr/>
        <w:t>Would Brazos be entitled to a credit as a result of its option to renew the PPA for 17 years at $0.50 per KW/month? If so, what how would that credit be measured?</w:t>
      </w:r>
    </w:p>
    <w:p>
      <w:pPr>
        <w:pStyle w:val="Normal"/>
        <w:numPr>
          <w:ilvl w:val="1"/>
          <w:numId w:val="2"/>
        </w:numPr>
        <w:jc w:val="both"/>
        <w:rPr/>
      </w:pPr>
      <w:r>
        <w:rPr/>
        <w:t>Would Brazos be entitled to a credit as a result of the issues over the Interest Adjustment? If so, how would that credit be measured?</w:t>
      </w:r>
    </w:p>
    <w:p>
      <w:pPr>
        <w:pStyle w:val="Normal"/>
        <w:numPr>
          <w:ilvl w:val="1"/>
          <w:numId w:val="2"/>
        </w:numPr>
        <w:jc w:val="both"/>
        <w:rPr/>
      </w:pPr>
      <w:r>
        <w:rPr/>
        <w:t>Would Tenaska be entitled to incidental damages and if so, what would be Tenaska’s incidental damages?</w:t>
      </w:r>
    </w:p>
    <w:p>
      <w:pPr>
        <w:pStyle w:val="Normal"/>
        <w:numPr>
          <w:ilvl w:val="1"/>
          <w:numId w:val="2"/>
        </w:numPr>
        <w:jc w:val="both"/>
        <w:rPr/>
      </w:pPr>
      <w:r>
        <w:rPr/>
        <w:t>Would Tenaska be entitled to consequential damages and if so, what would be Tenaska’s consequential damages?</w:t>
      </w:r>
    </w:p>
    <w:p>
      <w:pPr>
        <w:pStyle w:val="Normal"/>
        <w:numPr>
          <w:ilvl w:val="1"/>
          <w:numId w:val="2"/>
        </w:numPr>
        <w:jc w:val="both"/>
        <w:rPr/>
      </w:pPr>
      <w:r>
        <w:rPr/>
        <w:t>What would be the proper discount rate to apply to the resulting damages?</w:t>
      </w:r>
    </w:p>
    <w:p>
      <w:pPr>
        <w:pStyle w:val="Normal"/>
        <w:numPr>
          <w:ilvl w:val="0"/>
          <w:numId w:val="2"/>
        </w:numPr>
        <w:jc w:val="both"/>
        <w:rPr/>
      </w:pPr>
      <w:r>
        <w:rPr/>
        <w:t>If neither of the above is found to be the proper measure of damages, what would be the proper measure of damages and the applicable discount rate?</w:t>
      </w:r>
    </w:p>
    <w:p>
      <w:pPr>
        <w:pStyle w:val="Normal"/>
        <w:numPr>
          <w:ilvl w:val="0"/>
          <w:numId w:val="2"/>
        </w:numPr>
        <w:jc w:val="both"/>
        <w:rPr/>
      </w:pPr>
      <w:r>
        <w:rPr/>
        <w:t xml:space="preserve">What measure of damages would put Tenaska in “as good a position as if the other party had fully performed”? </w:t>
      </w:r>
    </w:p>
    <w:p>
      <w:pPr>
        <w:pStyle w:val="Normal"/>
        <w:jc w:val="both"/>
        <w:rPr/>
      </w:pPr>
      <w:r>
        <w:rPr/>
      </w:r>
    </w:p>
    <w:p>
      <w:pPr>
        <w:pStyle w:val="Normal"/>
        <w:numPr>
          <w:ilvl w:val="0"/>
          <w:numId w:val="3"/>
        </w:numPr>
        <w:jc w:val="both"/>
        <w:rPr/>
      </w:pPr>
      <w:r>
        <w:rPr/>
        <w:t>Does Tenaska have any other remedies that would be relevant to this matter?</w:t>
      </w:r>
    </w:p>
    <w:p>
      <w:pPr>
        <w:pStyle w:val="Normal"/>
        <w:numPr>
          <w:ilvl w:val="0"/>
          <w:numId w:val="4"/>
        </w:numPr>
        <w:jc w:val="both"/>
        <w:rPr/>
      </w:pPr>
      <w:r>
        <w:rPr/>
        <w:t>Is specific performance available?</w:t>
      </w:r>
    </w:p>
    <w:p>
      <w:pPr>
        <w:pStyle w:val="Normal"/>
        <w:ind w:start="1080" w:end="0"/>
        <w:jc w:val="both"/>
        <w:rPr/>
      </w:pPr>
      <w:r>
        <w:rPr/>
      </w:r>
    </w:p>
    <w:p>
      <w:pPr>
        <w:pStyle w:val="Normal"/>
        <w:numPr>
          <w:ilvl w:val="0"/>
          <w:numId w:val="3"/>
        </w:numPr>
        <w:jc w:val="both"/>
        <w:rPr/>
      </w:pPr>
      <w:r>
        <w:rPr/>
        <w:t>If Brazos is found to have wrongfully repudiated the PPA, would Tenaska be entitled to pre- and post-judgment interest, and if so, at what rate? In addition, would any other charges be assessed against Brazos (such as legal fees)?</w:t>
      </w:r>
    </w:p>
    <w:p>
      <w:pPr>
        <w:pStyle w:val="Normal"/>
        <w:ind w:start="360" w:end="0"/>
        <w:jc w:val="both"/>
        <w:rPr/>
      </w:pPr>
      <w:r>
        <w:rPr/>
      </w:r>
    </w:p>
    <w:p>
      <w:pPr>
        <w:pStyle w:val="Normal"/>
        <w:numPr>
          <w:ilvl w:val="0"/>
          <w:numId w:val="3"/>
        </w:numPr>
        <w:jc w:val="both"/>
        <w:rPr/>
      </w:pPr>
      <w:r>
        <w:rPr/>
        <w:t>Do the lenders to Tenaska have any independent right to intervene in any lawsuit or to bring their own suit, and if so, would that have any impact on the outcome of any suit or on the resulting damages?</w:t>
      </w:r>
    </w:p>
    <w:p>
      <w:pPr>
        <w:pStyle w:val="Normal"/>
        <w:jc w:val="both"/>
        <w:rPr/>
      </w:pPr>
      <w:r>
        <w:rPr/>
      </w:r>
    </w:p>
    <w:p>
      <w:pPr>
        <w:pStyle w:val="Normal"/>
        <w:numPr>
          <w:ilvl w:val="0"/>
          <w:numId w:val="3"/>
        </w:numPr>
        <w:jc w:val="both"/>
        <w:rPr/>
      </w:pPr>
      <w:r>
        <w:rPr/>
        <w:t>Will a repudiation by Brazos give any other third party a right to intervene or bring its own action against Brazos, and if so, would that have any impact on the outcome of any suit or on the resulting damages?</w:t>
      </w:r>
    </w:p>
    <w:p>
      <w:pPr>
        <w:pStyle w:val="Normal"/>
        <w:jc w:val="both"/>
        <w:rPr/>
      </w:pPr>
      <w:r>
        <w:rPr/>
      </w:r>
    </w:p>
    <w:p>
      <w:pPr>
        <w:pStyle w:val="Normal"/>
        <w:numPr>
          <w:ilvl w:val="0"/>
          <w:numId w:val="3"/>
        </w:numPr>
        <w:jc w:val="both"/>
        <w:rPr/>
      </w:pPr>
      <w:r>
        <w:rPr/>
        <w:t>Will a repudiation by Brazos give rise to any legal implications to the members of Brazos, and if so, could those implications impact the outcome of any suit or the resulting damages?</w:t>
      </w:r>
    </w:p>
    <w:p>
      <w:pPr>
        <w:pStyle w:val="Normal"/>
        <w:jc w:val="both"/>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 have assumed that Texas law governs the matter. If either of you disagree, please let me know.</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Symbol" w:hAnsi="Symbol" w:cs="Symbol"/>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b/>
      <w:bCs/>
      <w:sz w:val="22"/>
      <w:u w:val="single"/>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2000-10-19T17:24:00Z</dcterms:created>
  <dc:creator>Stephen D. Tick</dc:creator>
  <dc:description/>
  <dc:language>en-CA</dc:language>
  <cp:lastModifiedBy>Stephen D. Tick</cp:lastModifiedBy>
  <cp:lastPrinted>2000-10-19T17:18:00Z</cp:lastPrinted>
  <dcterms:modified xsi:type="dcterms:W3CDTF">2000-10-24T14:27:00Z</dcterms:modified>
  <cp:revision>17</cp:revision>
  <dc:subject/>
  <dc:title>BAKER &amp; TICK, LLC</dc:title>
</cp:coreProperties>
</file>