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TIN 2001-1354</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20"/>
          <w:lang w:val="en-CA" w:eastAsia="en-CA"/>
        </w:rPr>
      </w:pPr>
      <w:r>
        <w:rPr>
          <w:sz w:val="20"/>
          <w:lang w:val="en-CA" w:eastAsia="en-CA"/>
        </w:rPr>
        <mc:AlternateContent>
          <mc:Choice Requires="wps">
            <w:drawing>
              <wp:anchor behindDoc="1" distT="0" distB="0" distL="114935" distR="114935" simplePos="0" locked="0" layoutInCell="1" allowOverlap="1" relativeHeight="4">
                <wp:simplePos x="0" y="0"/>
                <wp:positionH relativeFrom="column">
                  <wp:align>center</wp:align>
                </wp:positionH>
                <wp:positionV relativeFrom="paragraph">
                  <wp:posOffset>160020</wp:posOffset>
                </wp:positionV>
                <wp:extent cx="5682615" cy="914400"/>
                <wp:effectExtent l="5715" t="5080" r="81280" b="81915"/>
                <wp:wrapNone/>
                <wp:docPr id="1" name=""/>
                <a:graphic xmlns:a="http://schemas.openxmlformats.org/drawingml/2006/main">
                  <a:graphicData uri="http://schemas.microsoft.com/office/word/2010/wordprocessingShape">
                    <wps:wsp>
                      <wps:cNvSpPr/>
                      <wps:spPr>
                        <a:xfrm>
                          <a:off x="0" y="0"/>
                          <a:ext cx="5682600" cy="914400"/>
                        </a:xfrm>
                        <a:prstGeom prst="octagon">
                          <a:avLst>
                            <a:gd name="adj" fmla="val 29287"/>
                          </a:avLst>
                        </a:prstGeom>
                        <a:solidFill>
                          <a:srgbClr val="ffffff"/>
                        </a:soli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shapetype id="_x0000_t10" coordsize="21600,21600" o:spt="10" adj="6326" path="m0@0l@0,l@1,l21600@0l21600@2l@1,21600l@0,21600l0@2xe">
                <v:stroke joinstyle="miter"/>
                <v:formulas>
                  <v:f eqn="val #0"/>
                  <v:f eqn="sum width 0 @0"/>
                  <v:f eqn="sum height 0 @0"/>
                  <v:f eqn="prod @0 1 2"/>
                  <v:f eqn="sum width 0 @3"/>
                  <v:f eqn="sum height 0 @3"/>
                </v:formulas>
                <v:path gradientshapeok="t" o:connecttype="rect" textboxrect="@3,@3,@4,@5"/>
                <v:handles>
                  <v:h position="@0,0"/>
                </v:handles>
              </v:shapetype>
              <v:shape id="shape_0" fillcolor="white" stroked="t" o:allowincell="f" style="position:absolute;margin-left:10.25pt;margin-top:12.6pt;width:447.4pt;height:71.95pt;mso-wrap-style:none;v-text-anchor:middle;mso-position-horizontal:center" type="_x0000_t10">
                <v:fill o:detectmouseclick="t" type="solid" color2="black"/>
                <v:stroke color="black" weight="9360" joinstyle="miter" endcap="flat"/>
                <v:shadow on="t" obscured="f" color="gray"/>
                <w10:wrap type="none"/>
              </v:shape>
            </w:pict>
          </mc:Fallback>
        </mc:AlternateContent>
      </w:r>
    </w:p>
    <w:p>
      <w:pPr>
        <w:pStyle w:val="Normal"/>
        <w:jc w:val="both"/>
        <w:rPr/>
      </w:pPr>
      <w:r>
        <w:rPr/>
      </w:r>
    </w:p>
    <w:p>
      <w:pPr>
        <w:pStyle w:val="CoverPage1"/>
        <w:rPr/>
      </w:pPr>
      <w:r>
        <w:rPr/>
        <w:t>ENVIRONMENTAL SYSTEMS CORPORATION STATEMENT OF QUALIFICATIONS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Prepared by:</w:t>
      </w:r>
    </w:p>
    <w:p>
      <w:pPr>
        <w:pStyle w:val="Normal"/>
        <w:jc w:val="center"/>
        <w:rPr/>
      </w:pPr>
      <w:r>
        <w:rPr/>
      </w:r>
    </w:p>
    <w:p>
      <w:pPr>
        <w:pStyle w:val="Normal"/>
        <w:rPr>
          <w:sz w:val="20"/>
          <w:lang w:val="en-CA" w:eastAsia="en-CA"/>
        </w:rPr>
      </w:pPr>
      <w:r>
        <w:rPr>
          <w:sz w:val="20"/>
          <w:lang w:val="en-CA" w:eastAsia="en-CA"/>
        </w:rPr>
        <w:drawing>
          <wp:anchor behindDoc="0" distT="0" distB="0" distL="114935" distR="114935" simplePos="0" locked="0" layoutInCell="1" allowOverlap="1" relativeHeight="7">
            <wp:simplePos x="0" y="0"/>
            <wp:positionH relativeFrom="column">
              <wp:align>center</wp:align>
            </wp:positionH>
            <wp:positionV relativeFrom="paragraph">
              <wp:posOffset>635</wp:posOffset>
            </wp:positionV>
            <wp:extent cx="1810385" cy="52133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3" t="-46" r="-13" b="-46"/>
                    <a:stretch>
                      <a:fillRect/>
                    </a:stretch>
                  </pic:blipFill>
                  <pic:spPr bwMode="auto">
                    <a:xfrm>
                      <a:off x="0" y="0"/>
                      <a:ext cx="1810385" cy="521335"/>
                    </a:xfrm>
                    <a:prstGeom prst="rect">
                      <a:avLst/>
                    </a:prstGeom>
                    <a:noFill/>
                  </pic:spPr>
                </pic:pic>
              </a:graphicData>
            </a:graphic>
          </wp:anchor>
        </w:drawing>
      </w:r>
    </w:p>
    <w:p>
      <w:pPr>
        <w:pStyle w:val="Normal"/>
        <w:jc w:val="center"/>
        <w:rPr/>
      </w:pPr>
      <w:r>
        <w:rPr/>
      </w:r>
    </w:p>
    <w:p>
      <w:pPr>
        <w:pStyle w:val="Normal"/>
        <w:jc w:val="both"/>
        <w:rPr/>
      </w:pPr>
      <w:r>
        <w:rPr/>
      </w:r>
    </w:p>
    <w:p>
      <w:pPr>
        <w:pStyle w:val="Normal"/>
        <w:jc w:val="both"/>
        <w:rPr/>
      </w:pPr>
      <w:r>
        <w:rPr/>
      </w:r>
    </w:p>
    <w:p>
      <w:pPr>
        <w:pStyle w:val="Normal"/>
        <w:jc w:val="both"/>
        <w:rPr/>
      </w:pPr>
      <w:r>
        <w:rPr/>
      </w:r>
    </w:p>
    <w:p>
      <w:pPr>
        <w:pStyle w:val="Normal"/>
        <w:jc w:val="center"/>
        <w:rPr>
          <w:rFonts w:ascii="Arial" w:hAnsi="Arial" w:cs="Arial"/>
          <w:sz w:val="20"/>
        </w:rPr>
      </w:pPr>
      <w:r>
        <w:rPr>
          <w:rFonts w:cs="Arial" w:ascii="Arial" w:hAnsi="Arial"/>
          <w:sz w:val="20"/>
        </w:rPr>
        <w:t>Environmental Systems Corporation</w:t>
      </w:r>
    </w:p>
    <w:p>
      <w:pPr>
        <w:pStyle w:val="Normal"/>
        <w:jc w:val="center"/>
        <w:rPr>
          <w:rFonts w:ascii="Arial" w:hAnsi="Arial" w:cs="Arial"/>
          <w:sz w:val="20"/>
        </w:rPr>
      </w:pPr>
      <w:r>
        <w:rPr>
          <w:rFonts w:cs="Arial" w:ascii="Arial" w:hAnsi="Arial"/>
          <w:sz w:val="20"/>
        </w:rPr>
        <w:t>200 Tech Center Drive</w:t>
      </w:r>
    </w:p>
    <w:p>
      <w:pPr>
        <w:pStyle w:val="Normal"/>
        <w:jc w:val="center"/>
        <w:rPr>
          <w:rFonts w:ascii="Arial" w:hAnsi="Arial" w:cs="Arial"/>
          <w:sz w:val="20"/>
        </w:rPr>
      </w:pPr>
      <w:r>
        <w:rPr>
          <w:rFonts w:cs="Arial" w:ascii="Arial" w:hAnsi="Arial"/>
          <w:sz w:val="20"/>
        </w:rPr>
        <w:t>Knoxville, TN  37912</w:t>
      </w:r>
    </w:p>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August 24, 2001</w:t>
      </w:r>
    </w:p>
    <w:p>
      <w:pPr>
        <w:pStyle w:val="Normal"/>
        <w:jc w:val="center"/>
        <w:rPr/>
      </w:pPr>
      <w:r>
        <w:rPr/>
      </w:r>
    </w:p>
    <w:p>
      <w:pPr>
        <w:pStyle w:val="Normal"/>
        <w:jc w:val="center"/>
        <w:rPr/>
      </w:pPr>
      <w:r>
        <w:rPr/>
      </w:r>
    </w:p>
    <w:p>
      <w:pPr>
        <w:pStyle w:val="Normal"/>
        <w:jc w:val="center"/>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432" w:bottom="1152"/>
          <w:pgNumType w:start="1" w:fmt="decimal"/>
          <w:formProt w:val="false"/>
          <w:titlePg/>
          <w:textDirection w:val="lrTb"/>
          <w:docGrid w:type="default" w:linePitch="360" w:charSpace="0"/>
        </w:sectPr>
        <w:pStyle w:val="BodyText"/>
        <w:rPr>
          <w:rFonts w:ascii="Arial" w:hAnsi="Arial" w:cs="Arial"/>
          <w:sz w:val="20"/>
          <w:lang w:val="en-CA" w:eastAsia="en-CA"/>
        </w:rPr>
      </w:pPr>
      <w:r>
        <w:rPr>
          <w:rFonts w:cs="Arial" w:ascii="Arial" w:hAnsi="Arial"/>
          <w:sz w:val="20"/>
          <w:lang w:val="en-CA" w:eastAsia="en-CA"/>
        </w:rPr>
      </w:r>
      <w:r>
        <mc:AlternateContent>
          <mc:Choice Requires="wps">
            <w:drawing>
              <wp:anchor behindDoc="1" distT="0" distB="0" distL="114935" distR="114935" simplePos="0" locked="0" layoutInCell="1" allowOverlap="1" relativeHeight="5">
                <wp:simplePos x="0" y="0"/>
                <wp:positionH relativeFrom="column">
                  <wp:align>center</wp:align>
                </wp:positionH>
                <wp:positionV relativeFrom="paragraph">
                  <wp:posOffset>109855</wp:posOffset>
                </wp:positionV>
                <wp:extent cx="5930265" cy="553085"/>
                <wp:effectExtent l="0" t="0" r="22225" b="22225"/>
                <wp:wrapNone/>
                <wp:docPr id="3" name="Frame1"/>
                <a:graphic xmlns:a="http://schemas.openxmlformats.org/drawingml/2006/main">
                  <a:graphicData uri="http://schemas.microsoft.com/office/word/2010/wordprocessingShape">
                    <wps:wsp>
                      <wps:cNvSpPr txBox="1"/>
                      <wps:spPr>
                        <a:xfrm>
                          <a:off x="0" y="0"/>
                          <a:ext cx="5952490" cy="575310"/>
                        </a:xfrm>
                        <a:prstGeom prst="rect"/>
                        <a:solidFill>
                          <a:srgbClr val="FFFFFF"/>
                        </a:solidFill>
                        <a:ln w="9525">
                          <a:solidFill>
                            <a:srgbClr val="000000"/>
                          </a:solidFill>
                        </a:ln>
                        <a:effectLst>
                          <a:outerShdw dist="31115" dir="2700000">
                            <a:srgbClr val="808080"/>
                          </a:outerShdw>
                        </a:effectLst>
                      </wps:spPr>
                      <wps:txbx>
                        <w:txbxContent>
                          <w:p>
                            <w:pPr>
                              <w:pStyle w:val="Normal"/>
                              <w:rPr>
                                <w:rFonts w:ascii="Arial" w:hAnsi="Arial" w:cs="Arial"/>
                                <w:sz w:val="20"/>
                              </w:rPr>
                            </w:pPr>
                            <w:r>
                              <w:rPr>
                                <w:rFonts w:cs="Arial" w:ascii="Arial" w:hAnsi="Arial"/>
                                <w:sz w:val="20"/>
                              </w:rPr>
                              <w:t>The information contained in this document and any attachments is confidential, intended only for the use of the company addressed. Any dissemination, distribution, or copying of this communication outside of the named organization, without the express permission of ESC, is strictly prohibited.</w:t>
                            </w:r>
                          </w:p>
                        </w:txbxContent>
                      </wps:txbx>
                      <wps:bodyPr anchor="t" lIns="91440" tIns="45720" rIns="91440" bIns="45720">
                        <a:noAutofit/>
                      </wps:bodyPr>
                    </wps:wsp>
                  </a:graphicData>
                </a:graphic>
              </wp:anchor>
            </w:drawing>
          </mc:Choice>
          <mc:Fallback>
            <w:pict>
              <v:rect fillcolor="#FFFFFF" strokecolor="#000000" strokeweight="0pt" style="position:absolute;rotation:-0;width:468.7pt;height:45.3pt;mso-wrap-distance-left:9.05pt;mso-wrap-distance-right:9.05pt;mso-wrap-distance-top:0pt;mso-wrap-distance-bottom:0pt;margin-top:8.65pt;mso-position-vertical-relative:text;margin-left:-0.35pt;mso-position-horizontal:center;mso-position-horizontal-relative:text">
                <v:shadow on="t" color="#808080" offset="1.75pt,1.75pt"/>
                <v:textbox>
                  <w:txbxContent>
                    <w:p>
                      <w:pPr>
                        <w:pStyle w:val="Normal"/>
                        <w:rPr>
                          <w:rFonts w:ascii="Arial" w:hAnsi="Arial" w:cs="Arial"/>
                          <w:sz w:val="20"/>
                        </w:rPr>
                      </w:pPr>
                      <w:r>
                        <w:rPr>
                          <w:rFonts w:cs="Arial" w:ascii="Arial" w:hAnsi="Arial"/>
                          <w:sz w:val="20"/>
                        </w:rPr>
                        <w:t>The information contained in this document and any attachments is confidential, intended only for the use of the company addressed. Any dissemination, distribution, or copying of this communication outside of the named organization, without the express permission of ESC, is strictly prohibited.</w:t>
                      </w:r>
                    </w:p>
                  </w:txbxContent>
                </v:textbox>
                <w10:wrap type="none"/>
              </v:rect>
            </w:pict>
          </mc:Fallback>
        </mc:AlternateContent>
      </w:r>
    </w:p>
    <w:p>
      <w:pPr>
        <w:pStyle w:val="Header-TIN1"/>
        <w:pBdr>
          <w:bottom w:val="nil"/>
        </w:pBdr>
        <w:tabs>
          <w:tab w:val="left" w:pos="720" w:leader="none"/>
          <w:tab w:val="left" w:pos="1440" w:leader="none"/>
          <w:tab w:val="right" w:pos="9360" w:leader="none"/>
        </w:tabs>
        <w:rPr>
          <w:rFonts w:ascii="Times New Roman" w:hAnsi="Times New Roman" w:cs="Times New Roman"/>
          <w:sz w:val="20"/>
          <w:lang w:val="en-CA" w:eastAsia="en-CA"/>
        </w:rPr>
      </w:pPr>
      <w:r>
        <w:rPr>
          <w:rFonts w:cs="Times New Roman" w:ascii="Times New Roman" w:hAnsi="Times New Roman"/>
          <w:sz w:val="20"/>
          <w:lang w:val="en-CA" w:eastAsia="en-CA"/>
        </w:rPr>
      </w:r>
    </w:p>
    <w:p>
      <w:pPr>
        <w:pStyle w:val="Header-TIN1"/>
        <w:pBdr>
          <w:bottom w:val="nil"/>
        </w:pBdr>
        <w:tabs>
          <w:tab w:val="left" w:pos="720" w:leader="none"/>
          <w:tab w:val="left" w:pos="1440" w:leader="none"/>
          <w:tab w:val="right" w:pos="9360" w:leader="none"/>
        </w:tabs>
        <w:rPr>
          <w:rFonts w:ascii="Times New Roman" w:hAnsi="Times New Roman" w:cs="Times New Roman"/>
          <w:lang w:val="en-CA" w:eastAsia="en-CA"/>
        </w:rPr>
      </w:pPr>
      <w:r>
        <w:rPr>
          <w:rFonts w:cs="Times New Roman" w:ascii="Times New Roman" w:hAnsi="Times New Roman"/>
          <w:lang w:val="en-CA" w:eastAsia="en-CA"/>
        </w:rPr>
      </w:r>
    </w:p>
    <w:p>
      <w:pPr>
        <w:pStyle w:val="Header-TIN1"/>
        <w:pBdr>
          <w:bottom w:val="nil"/>
        </w:pBdr>
        <w:tabs>
          <w:tab w:val="left" w:pos="720" w:leader="none"/>
          <w:tab w:val="left" w:pos="1440" w:leader="none"/>
          <w:tab w:val="right" w:pos="9360" w:leader="none"/>
        </w:tabs>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2">
                <wp:simplePos x="0" y="0"/>
                <wp:positionH relativeFrom="column">
                  <wp:align>center</wp:align>
                </wp:positionH>
                <wp:positionV relativeFrom="paragraph">
                  <wp:posOffset>53340</wp:posOffset>
                </wp:positionV>
                <wp:extent cx="5827395" cy="800100"/>
                <wp:effectExtent l="5715" t="5080" r="81280" b="81915"/>
                <wp:wrapNone/>
                <wp:docPr id="4" name=""/>
                <a:graphic xmlns:a="http://schemas.openxmlformats.org/drawingml/2006/main">
                  <a:graphicData uri="http://schemas.microsoft.com/office/word/2010/wordprocessingShape">
                    <wps:wsp>
                      <wps:cNvSpPr/>
                      <wps:spPr>
                        <a:xfrm>
                          <a:off x="0" y="0"/>
                          <a:ext cx="5827320" cy="800280"/>
                        </a:xfrm>
                        <a:prstGeom prst="octagon">
                          <a:avLst>
                            <a:gd name="adj" fmla="val 29287"/>
                          </a:avLst>
                        </a:prstGeom>
                        <a:solidFill>
                          <a:srgbClr val="ffffff"/>
                        </a:soli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shape id="shape_0" fillcolor="white" stroked="t" o:allowincell="f" style="position:absolute;margin-left:4.55pt;margin-top:4.2pt;width:458.8pt;height:62.95pt;mso-wrap-style:none;v-text-anchor:middle;mso-position-horizontal:center" type="_x0000_t10">
                <v:fill o:detectmouseclick="t" type="solid" color2="black"/>
                <v:stroke color="black" weight="9360" joinstyle="miter" endcap="flat"/>
                <v:shadow on="t" obscured="f" color="gray"/>
                <w10:wrap type="none"/>
              </v:shape>
            </w:pict>
          </mc:Fallback>
        </mc:AlternateContent>
      </w:r>
    </w:p>
    <w:p>
      <w:pPr>
        <w:pStyle w:val="CoverPage1"/>
        <w:rPr/>
      </w:pPr>
      <w:r>
        <w:rPr/>
        <w:t>Environmental Systems Corporation</w:t>
      </w:r>
    </w:p>
    <w:p>
      <w:pPr>
        <w:pStyle w:val="CoverPage1"/>
        <w:rPr/>
      </w:pPr>
      <w:r>
        <w:rPr/>
        <w:t>Statement of Qualifications</w:t>
      </w:r>
    </w:p>
    <w:p>
      <w:pPr>
        <w:pStyle w:val="Normal"/>
        <w:jc w:val="both"/>
        <w:rPr/>
      </w:pPr>
      <w:r>
        <w:rPr/>
      </w:r>
    </w:p>
    <w:p>
      <w:pPr>
        <w:pStyle w:val="Normal"/>
        <w:jc w:val="both"/>
        <w:rPr/>
      </w:pPr>
      <w:r>
        <w:rPr/>
      </w:r>
    </w:p>
    <w:p>
      <w:pPr>
        <w:pStyle w:val="Normal"/>
        <w:jc w:val="both"/>
        <w:rPr/>
      </w:pPr>
      <w:r>
        <w:rPr/>
      </w:r>
    </w:p>
    <w:p>
      <w:pPr>
        <w:pStyle w:val="Heading2"/>
        <w:ind w:hanging="0" w:start="0"/>
        <w:rPr>
          <w:b/>
          <w:bCs/>
          <w:sz w:val="28"/>
          <w:u w:val="single"/>
        </w:rPr>
      </w:pPr>
      <w:r>
        <w:rPr>
          <w:b/>
          <w:bCs/>
          <w:sz w:val="28"/>
          <w:u w:val="single"/>
        </w:rPr>
        <w:t>Scope of Normal Work</w:t>
      </w:r>
    </w:p>
    <w:p>
      <w:pPr>
        <w:pStyle w:val="Normal"/>
        <w:jc w:val="both"/>
        <w:rPr>
          <w:b/>
          <w:bCs/>
          <w:sz w:val="28"/>
          <w:u w:val="single"/>
        </w:rPr>
      </w:pPr>
      <w:r>
        <w:rPr>
          <w:b/>
          <w:bCs/>
          <w:sz w:val="28"/>
          <w:u w:val="single"/>
        </w:rPr>
      </w:r>
    </w:p>
    <w:p>
      <w:pPr>
        <w:pStyle w:val="Normal"/>
        <w:jc w:val="both"/>
        <w:rPr/>
      </w:pPr>
      <w:r>
        <w:rPr/>
        <w:t>ESC is the largest provider in the United States of data acquisition and reporting systems for ambient and source monitoring.  ESC also serves as a provider of complete CEM packages, including dilution or extractive CEMS for traditional measurements, low-level NO</w:t>
      </w:r>
      <w:r>
        <w:rPr>
          <w:vertAlign w:val="subscript"/>
        </w:rPr>
        <w:t>X</w:t>
      </w:r>
      <w:r>
        <w:rPr/>
        <w:t>, and ammonia slip.  The source monitoring element provides affected sources with compliance under the following programs:</w:t>
      </w:r>
    </w:p>
    <w:p>
      <w:pPr>
        <w:pStyle w:val="Normal"/>
        <w:jc w:val="both"/>
        <w:rPr/>
      </w:pPr>
      <w:r>
        <w:rPr/>
      </w:r>
    </w:p>
    <w:p>
      <w:pPr>
        <w:pStyle w:val="Normal"/>
        <w:numPr>
          <w:ilvl w:val="0"/>
          <w:numId w:val="6"/>
        </w:numPr>
        <w:tabs>
          <w:tab w:val="clear" w:pos="1440"/>
          <w:tab w:val="left" w:pos="720" w:leader="none"/>
          <w:tab w:val="left" w:pos="1425" w:leader="none"/>
          <w:tab w:val="right" w:pos="9360" w:leader="none"/>
        </w:tabs>
        <w:jc w:val="both"/>
        <w:rPr/>
      </w:pPr>
      <w:r>
        <w:rPr/>
        <w:t>Acid Rain Program (40CFR75)</w:t>
      </w:r>
    </w:p>
    <w:p>
      <w:pPr>
        <w:pStyle w:val="Normal"/>
        <w:numPr>
          <w:ilvl w:val="0"/>
          <w:numId w:val="6"/>
        </w:numPr>
        <w:tabs>
          <w:tab w:val="clear" w:pos="1440"/>
          <w:tab w:val="left" w:pos="720" w:leader="none"/>
          <w:tab w:val="left" w:pos="1425" w:leader="none"/>
          <w:tab w:val="right" w:pos="9360" w:leader="none"/>
        </w:tabs>
        <w:jc w:val="both"/>
        <w:rPr/>
      </w:pPr>
      <w:r>
        <w:rPr/>
        <w:t>OTC NO</w:t>
      </w:r>
      <w:r>
        <w:rPr>
          <w:vertAlign w:val="subscript"/>
        </w:rPr>
        <w:t>X</w:t>
      </w:r>
      <w:r>
        <w:rPr/>
        <w:t xml:space="preserve"> Budget</w:t>
      </w:r>
    </w:p>
    <w:p>
      <w:pPr>
        <w:pStyle w:val="Normal"/>
        <w:numPr>
          <w:ilvl w:val="0"/>
          <w:numId w:val="6"/>
        </w:numPr>
        <w:tabs>
          <w:tab w:val="clear" w:pos="1440"/>
          <w:tab w:val="left" w:pos="720" w:leader="none"/>
          <w:tab w:val="left" w:pos="1425" w:leader="none"/>
          <w:tab w:val="right" w:pos="9360" w:leader="none"/>
        </w:tabs>
        <w:jc w:val="both"/>
        <w:rPr/>
      </w:pPr>
      <w:r>
        <w:rPr/>
        <w:t>SIP Call</w:t>
      </w:r>
    </w:p>
    <w:p>
      <w:pPr>
        <w:pStyle w:val="Normal"/>
        <w:numPr>
          <w:ilvl w:val="0"/>
          <w:numId w:val="6"/>
        </w:numPr>
        <w:tabs>
          <w:tab w:val="clear" w:pos="1440"/>
          <w:tab w:val="left" w:pos="720" w:leader="none"/>
          <w:tab w:val="left" w:pos="1425" w:leader="none"/>
          <w:tab w:val="right" w:pos="9360" w:leader="none"/>
        </w:tabs>
        <w:jc w:val="both"/>
        <w:rPr/>
      </w:pPr>
      <w:r>
        <w:rPr/>
        <w:t>Federal NO</w:t>
      </w:r>
      <w:r>
        <w:rPr>
          <w:vertAlign w:val="subscript"/>
        </w:rPr>
        <w:t>X</w:t>
      </w:r>
      <w:r>
        <w:rPr/>
        <w:t xml:space="preserve"> Trading/Section 126</w:t>
      </w:r>
    </w:p>
    <w:p>
      <w:pPr>
        <w:pStyle w:val="Normal"/>
        <w:numPr>
          <w:ilvl w:val="0"/>
          <w:numId w:val="6"/>
        </w:numPr>
        <w:tabs>
          <w:tab w:val="clear" w:pos="1440"/>
          <w:tab w:val="left" w:pos="720" w:leader="none"/>
          <w:tab w:val="left" w:pos="1425" w:leader="none"/>
          <w:tab w:val="right" w:pos="9360" w:leader="none"/>
        </w:tabs>
        <w:jc w:val="both"/>
        <w:rPr/>
      </w:pPr>
      <w:r>
        <w:rPr/>
        <w:t>40CFR60/Local/Permit Reporting</w:t>
      </w:r>
    </w:p>
    <w:p>
      <w:pPr>
        <w:pStyle w:val="Normal"/>
        <w:jc w:val="both"/>
        <w:rPr/>
      </w:pPr>
      <w:r>
        <w:rPr/>
      </w:r>
    </w:p>
    <w:p>
      <w:pPr>
        <w:pStyle w:val="TestText"/>
        <w:tabs>
          <w:tab w:val="clear" w:pos="2160"/>
          <w:tab w:val="left" w:pos="720" w:leader="none"/>
          <w:tab w:val="left" w:pos="1440" w:leader="none"/>
          <w:tab w:val="right" w:pos="9360" w:leader="none"/>
        </w:tabs>
        <w:rPr>
          <w:rFonts w:ascii="Times New Roman" w:hAnsi="Times New Roman" w:cs="Times New Roman"/>
        </w:rPr>
      </w:pPr>
      <w:r>
        <w:rPr>
          <w:rFonts w:cs="Times New Roman" w:ascii="Times New Roman" w:hAnsi="Times New Roman"/>
        </w:rPr>
        <w:t>ESC’s source monitoring software provides reporting for full CEM systems, estimation systems based on fuel usage (Appendix D, E, and G), and PEM monitoring approaches.  The software is adaptable to virtually any type of source – boiler, combustion turbine, refinery, industrial source, etc.</w:t>
      </w:r>
    </w:p>
    <w:p>
      <w:pPr>
        <w:pStyle w:val="Normal"/>
        <w:jc w:val="both"/>
        <w:rPr>
          <w:rFonts w:ascii="Times New Roman" w:hAnsi="Times New Roman" w:cs="Times New Roman"/>
        </w:rPr>
      </w:pPr>
      <w:r>
        <w:rPr>
          <w:rFonts w:cs="Times New Roman"/>
        </w:rPr>
      </w:r>
    </w:p>
    <w:p>
      <w:pPr>
        <w:pStyle w:val="Heading2"/>
        <w:ind w:hanging="0" w:start="0"/>
        <w:rPr>
          <w:b/>
          <w:bCs/>
          <w:sz w:val="28"/>
          <w:u w:val="single"/>
        </w:rPr>
      </w:pPr>
      <w:r>
        <w:rPr>
          <w:b/>
          <w:bCs/>
          <w:sz w:val="28"/>
          <w:u w:val="single"/>
        </w:rPr>
        <w:t>User Base – Ambient</w:t>
      </w:r>
    </w:p>
    <w:p>
      <w:pPr>
        <w:pStyle w:val="Normal"/>
        <w:jc w:val="both"/>
        <w:rPr>
          <w:b/>
          <w:bCs/>
          <w:sz w:val="28"/>
          <w:u w:val="single"/>
        </w:rPr>
      </w:pPr>
      <w:r>
        <w:rPr>
          <w:b/>
          <w:bCs/>
          <w:sz w:val="28"/>
          <w:u w:val="single"/>
        </w:rPr>
      </w:r>
    </w:p>
    <w:p>
      <w:pPr>
        <w:pStyle w:val="Normal"/>
        <w:jc w:val="both"/>
        <w:rPr/>
      </w:pPr>
      <w:r>
        <w:rPr/>
        <w:t>ESC’s E-DAS Ambient and ATX software is in use at 38 state agencies (see Map 1), and dozens of local county and municipal monitoring agencies.  Many states and localities have been using ESC data loggers and software in excess of 20 years.</w:t>
      </w:r>
    </w:p>
    <w:p>
      <w:pPr>
        <w:pStyle w:val="Normal"/>
        <w:jc w:val="both"/>
        <w:rPr/>
      </w:pPr>
      <w:r>
        <w:rPr/>
      </w:r>
    </w:p>
    <w:p>
      <w:pPr>
        <w:pStyle w:val="Heading2"/>
        <w:ind w:hanging="0" w:start="0"/>
        <w:rPr>
          <w:b/>
          <w:bCs/>
          <w:sz w:val="28"/>
          <w:u w:val="single"/>
        </w:rPr>
      </w:pPr>
      <w:r>
        <w:rPr>
          <w:b/>
          <w:bCs/>
          <w:sz w:val="28"/>
          <w:u w:val="single"/>
        </w:rPr>
        <w:t>User Base – Source</w:t>
      </w:r>
    </w:p>
    <w:p>
      <w:pPr>
        <w:pStyle w:val="Normal"/>
        <w:jc w:val="both"/>
        <w:rPr>
          <w:b/>
          <w:bCs/>
          <w:sz w:val="28"/>
          <w:u w:val="single"/>
        </w:rPr>
      </w:pPr>
      <w:r>
        <w:rPr>
          <w:b/>
          <w:bCs/>
          <w:sz w:val="28"/>
          <w:u w:val="single"/>
        </w:rPr>
      </w:r>
    </w:p>
    <w:p>
      <w:pPr>
        <w:pStyle w:val="Normal"/>
        <w:jc w:val="both"/>
        <w:rPr/>
      </w:pPr>
      <w:r>
        <w:rPr/>
        <w:t>ESC’s source monitoring software packages are used by almost every type of source (utility, pulp and paper, cement/mineral, steel, chemical, refining).  ESC is the dominant provider specifically in the utility industry, with over 38% market share, more than the next three competitors combined.  ESC’s user base spans the spectrum from large companies (American Electric Power, Reliant, TVA) down to many small municipal power agencies and independent power producers (IPPs).</w:t>
      </w:r>
    </w:p>
    <w:p>
      <w:pPr>
        <w:pStyle w:val="Normal"/>
        <w:jc w:val="both"/>
        <w:rPr/>
      </w:pPr>
      <w:r>
        <w:rPr/>
      </w:r>
    </w:p>
    <w:p>
      <w:pPr>
        <w:pStyle w:val="Normal"/>
        <w:jc w:val="both"/>
        <w:rPr/>
      </w:pPr>
      <w:r>
        <w:rPr/>
        <w:t>A partial list of ESC customers is included (Appendix A).</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ind w:hanging="0" w:start="0"/>
        <w:rPr>
          <w:b/>
          <w:bCs/>
          <w:sz w:val="28"/>
          <w:u w:val="single"/>
        </w:rPr>
      </w:pPr>
      <w:r>
        <w:rPr>
          <w:b/>
          <w:bCs/>
          <w:sz w:val="28"/>
          <w:u w:val="single"/>
        </w:rPr>
        <w:t>Resources</w:t>
      </w:r>
    </w:p>
    <w:p>
      <w:pPr>
        <w:pStyle w:val="Normal"/>
        <w:jc w:val="both"/>
        <w:rPr>
          <w:b/>
          <w:bCs/>
          <w:sz w:val="28"/>
          <w:u w:val="single"/>
        </w:rPr>
      </w:pPr>
      <w:r>
        <w:rPr>
          <w:b/>
          <w:bCs/>
          <w:sz w:val="28"/>
          <w:u w:val="single"/>
        </w:rPr>
      </w:r>
    </w:p>
    <w:p>
      <w:pPr>
        <w:pStyle w:val="Normal"/>
        <w:jc w:val="both"/>
        <w:rPr/>
      </w:pPr>
      <w:r>
        <w:rPr/>
        <w:t>Data Systems is the largest division within ESC, comprising roughly half of the 200-person company.  The Data Systems division has maintained a steadily increasing business level growing from $10 million to $15 million per year over the last five years. The steady business level has allowed ESC to maintain its staff with low turnover, retaining the considerable knowledge and experience it takes to properly run complex CEM DAS projects.</w:t>
      </w:r>
    </w:p>
    <w:p>
      <w:pPr>
        <w:pStyle w:val="Normal"/>
        <w:jc w:val="both"/>
        <w:rPr>
          <w:u w:val="single"/>
        </w:rPr>
      </w:pPr>
      <w:r>
        <w:rPr>
          <w:u w:val="single"/>
        </w:rPr>
      </w:r>
    </w:p>
    <w:p>
      <w:pPr>
        <w:pStyle w:val="Heading2"/>
        <w:ind w:hanging="0" w:start="0"/>
        <w:rPr>
          <w:b/>
          <w:bCs/>
          <w:sz w:val="28"/>
          <w:u w:val="single"/>
        </w:rPr>
      </w:pPr>
      <w:r>
        <w:rPr>
          <w:b/>
          <w:bCs/>
          <w:sz w:val="28"/>
          <w:u w:val="single"/>
        </w:rPr>
        <w:t>Staffing Levels</w:t>
      </w:r>
    </w:p>
    <w:p>
      <w:pPr>
        <w:pStyle w:val="Normal"/>
        <w:ind w:start="720" w:end="0"/>
        <w:jc w:val="both"/>
        <w:rPr>
          <w:b/>
          <w:bCs/>
          <w:sz w:val="28"/>
          <w:u w:val="single"/>
        </w:rPr>
      </w:pPr>
      <w:r>
        <w:rPr>
          <w:b/>
          <w:bCs/>
          <w:sz w:val="28"/>
          <w:u w:val="single"/>
        </w:rPr>
      </w:r>
    </w:p>
    <w:p>
      <w:pPr>
        <w:pStyle w:val="Normal"/>
        <w:ind w:start="720" w:end="0"/>
        <w:jc w:val="both"/>
        <w:rPr/>
      </w:pPr>
      <w:r>
        <w:rPr/>
        <w:t>25</w:t>
        <w:tab/>
        <w:t>Programmers (15 associated with 40CFR75-level software)</w:t>
      </w:r>
    </w:p>
    <w:p>
      <w:pPr>
        <w:pStyle w:val="Normal"/>
        <w:ind w:start="720" w:end="0"/>
        <w:jc w:val="both"/>
        <w:rPr/>
      </w:pPr>
      <w:r>
        <w:rPr/>
        <w:t>5</w:t>
        <w:tab/>
        <w:t>Firmware Engineers</w:t>
      </w:r>
    </w:p>
    <w:p>
      <w:pPr>
        <w:pStyle w:val="Normal"/>
        <w:ind w:start="720" w:end="0"/>
        <w:jc w:val="both"/>
        <w:rPr/>
      </w:pPr>
      <w:r>
        <w:rPr/>
        <w:t>11</w:t>
        <w:tab/>
        <w:t>Project Engineers</w:t>
      </w:r>
    </w:p>
    <w:p>
      <w:pPr>
        <w:pStyle w:val="Normal"/>
        <w:ind w:start="720" w:end="0"/>
        <w:jc w:val="both"/>
        <w:rPr/>
      </w:pPr>
      <w:r>
        <w:rPr/>
        <w:t>3</w:t>
        <w:tab/>
        <w:t>System Integration</w:t>
      </w:r>
    </w:p>
    <w:p>
      <w:pPr>
        <w:pStyle w:val="Normal"/>
        <w:ind w:start="720" w:end="0"/>
        <w:jc w:val="both"/>
        <w:rPr/>
      </w:pPr>
      <w:r>
        <w:rPr/>
        <w:t>9</w:t>
        <w:tab/>
        <w:t>Software QA and Documentation</w:t>
      </w:r>
    </w:p>
    <w:p>
      <w:pPr>
        <w:pStyle w:val="Normal"/>
        <w:ind w:start="720" w:end="0"/>
        <w:jc w:val="both"/>
        <w:rPr/>
      </w:pPr>
      <w:r>
        <w:rPr/>
        <w:t>6</w:t>
        <w:tab/>
        <w:t>Software Support</w:t>
      </w:r>
    </w:p>
    <w:p>
      <w:pPr>
        <w:pStyle w:val="Normal"/>
        <w:ind w:start="720" w:end="0"/>
        <w:jc w:val="both"/>
        <w:rPr/>
      </w:pPr>
      <w:r>
        <w:rPr/>
        <w:t>5</w:t>
        <w:tab/>
        <w:t>Hardware/Firmware Support</w:t>
      </w:r>
    </w:p>
    <w:p>
      <w:pPr>
        <w:pStyle w:val="Normal"/>
        <w:ind w:start="720" w:end="0"/>
        <w:jc w:val="both"/>
        <w:rPr/>
      </w:pPr>
      <w:r>
        <w:rPr/>
        <w:t>4</w:t>
        <w:tab/>
        <w:t>Training/Post-Installation Services</w:t>
      </w:r>
    </w:p>
    <w:p>
      <w:pPr>
        <w:pStyle w:val="Normal"/>
        <w:jc w:val="both"/>
        <w:rPr/>
      </w:pPr>
      <w:r>
        <w:rPr/>
      </w:r>
    </w:p>
    <w:p>
      <w:pPr>
        <w:pStyle w:val="Heading2"/>
        <w:ind w:hanging="0" w:start="0"/>
        <w:rPr>
          <w:b/>
          <w:bCs/>
          <w:sz w:val="28"/>
          <w:u w:val="single"/>
        </w:rPr>
      </w:pPr>
      <w:r>
        <w:rPr>
          <w:b/>
          <w:bCs/>
          <w:sz w:val="28"/>
          <w:u w:val="single"/>
        </w:rPr>
        <w:t>Software Quality</w:t>
      </w:r>
    </w:p>
    <w:p>
      <w:pPr>
        <w:pStyle w:val="Normal"/>
        <w:jc w:val="both"/>
        <w:rPr>
          <w:b/>
          <w:bCs/>
          <w:sz w:val="28"/>
          <w:u w:val="single"/>
        </w:rPr>
      </w:pPr>
      <w:r>
        <w:rPr>
          <w:b/>
          <w:bCs/>
          <w:sz w:val="28"/>
          <w:u w:val="single"/>
        </w:rPr>
      </w:r>
    </w:p>
    <w:p>
      <w:pPr>
        <w:pStyle w:val="Normal"/>
        <w:jc w:val="both"/>
        <w:rPr/>
      </w:pPr>
      <w:r>
        <w:rPr/>
        <w:t>ESC uses a standard set of software for all customers, using user-accessible configuration files to adapt the standard software modules to site-specific requirements (e.g., Appendix D reporting for fuel usage).  All customization of menus and operator displays is also provided via configuration files.  This vastly simplifies the process of new software development, testing, and promulgation of software supplements and upgrades.</w:t>
      </w:r>
    </w:p>
    <w:p>
      <w:pPr>
        <w:pStyle w:val="Normal"/>
        <w:jc w:val="both"/>
        <w:rPr/>
      </w:pPr>
      <w:r>
        <w:rPr/>
      </w:r>
    </w:p>
    <w:p>
      <w:pPr>
        <w:pStyle w:val="Normal"/>
        <w:jc w:val="both"/>
        <w:rPr/>
      </w:pPr>
      <w:r>
        <w:rPr/>
        <w:t xml:space="preserve">All software follows a development path beginning with a written design document/specification and review, before any code is developed.  The code is then tested by an independent software quality assurance (QA) group based on the design document, using sample customer configurations and data.  Any reported software deficiencies follow a similar path (documentation, coding, and independent testing) before release to the customers.  </w:t>
      </w:r>
    </w:p>
    <w:p>
      <w:pPr>
        <w:pStyle w:val="Normal"/>
        <w:jc w:val="both"/>
        <w:rPr/>
      </w:pPr>
      <w:r>
        <w:rPr/>
      </w:r>
    </w:p>
    <w:p>
      <w:pPr>
        <w:pStyle w:val="Normal"/>
        <w:jc w:val="both"/>
        <w:rPr/>
      </w:pPr>
      <w:r>
        <w:rPr/>
        <w:t>This approach has provided ESC with a reputation in the industry for the highest quality software and the easiest product to maintain.  Customers do not have to worry about whether a software fix will “break something else,” or worry about their vendor taking multiple attempts to address the same problem, which wastes the customer’s valuable time.  ESC does the testing so that the customer does not have to.</w:t>
      </w:r>
    </w:p>
    <w:p>
      <w:pPr>
        <w:pStyle w:val="Normal"/>
        <w:jc w:val="both"/>
        <w:rPr/>
      </w:pPr>
      <w:r>
        <w:rPr/>
      </w:r>
    </w:p>
    <w:p>
      <w:pPr>
        <w:pStyle w:val="Heading2"/>
        <w:ind w:hanging="0" w:start="0"/>
        <w:rPr>
          <w:b/>
          <w:bCs/>
          <w:sz w:val="28"/>
          <w:u w:val="single"/>
        </w:rPr>
      </w:pPr>
      <w:r>
        <w:rPr>
          <w:b/>
          <w:bCs/>
          <w:sz w:val="28"/>
          <w:u w:val="single"/>
        </w:rPr>
        <w:t>Staff Professionalism</w:t>
      </w:r>
    </w:p>
    <w:p>
      <w:pPr>
        <w:pStyle w:val="Normal"/>
        <w:jc w:val="both"/>
        <w:rPr>
          <w:b/>
          <w:bCs/>
          <w:sz w:val="28"/>
          <w:u w:val="single"/>
        </w:rPr>
      </w:pPr>
      <w:r>
        <w:rPr>
          <w:b/>
          <w:bCs/>
          <w:sz w:val="28"/>
          <w:u w:val="single"/>
        </w:rPr>
      </w:r>
    </w:p>
    <w:p>
      <w:pPr>
        <w:pStyle w:val="Normal"/>
        <w:jc w:val="both"/>
        <w:rPr/>
      </w:pPr>
      <w:r>
        <w:rPr/>
        <w:t>All ESC engineering and project staff attend week-long orientations to the regulatory environment they will be working under.  The project staff is highly experienced with 40CFR75 and associated regulations.  ESC is regularly the first to drive the EPA to clarify gray areas within new, and sometimes even established rules and policy statements.</w:t>
      </w:r>
    </w:p>
    <w:p>
      <w:pPr>
        <w:pStyle w:val="Normal"/>
        <w:jc w:val="both"/>
        <w:rPr/>
      </w:pPr>
      <w:r>
        <w:rPr/>
      </w:r>
    </w:p>
    <w:p>
      <w:pPr>
        <w:pStyle w:val="Normal"/>
        <w:jc w:val="both"/>
        <w:rPr/>
      </w:pPr>
      <w:r>
        <w:rPr/>
      </w:r>
    </w:p>
    <w:p>
      <w:pPr>
        <w:pStyle w:val="Normal"/>
        <w:jc w:val="both"/>
        <w:rPr/>
      </w:pPr>
      <w:r>
        <w:rPr/>
        <w:t>ESC has Engineers that are highly trained both in the ESC software and in the regulatory environment.  ESC’s project staff has been recognized as the most professional in the industry.</w:t>
      </w:r>
    </w:p>
    <w:p>
      <w:pPr>
        <w:pStyle w:val="Normal"/>
        <w:jc w:val="both"/>
        <w:rPr/>
      </w:pPr>
      <w:r>
        <w:rPr/>
      </w:r>
    </w:p>
    <w:p>
      <w:pPr>
        <w:pStyle w:val="Normal"/>
        <w:jc w:val="both"/>
        <w:rPr/>
      </w:pPr>
      <w:r>
        <w:rPr/>
        <w:t>We consider our support staff to be equally important, and thus our in-house support group is also constantly kept up-to-date on changes in the regulatory environment, as well as software enhancements.  Our support staff is able to resolve most problems immediately, and can draw on whatever resources are necessary to resolve issues that go beyond that level.</w:t>
      </w:r>
    </w:p>
    <w:p>
      <w:pPr>
        <w:pStyle w:val="Normal"/>
        <w:jc w:val="both"/>
        <w:rPr/>
      </w:pPr>
      <w:r>
        <w:rPr/>
      </w:r>
    </w:p>
    <w:p>
      <w:pPr>
        <w:pStyle w:val="Normal"/>
        <w:jc w:val="both"/>
        <w:rPr/>
      </w:pPr>
      <w:r>
        <w:rPr/>
        <w:t>Our goal is the total satisfaction of every customer.  We consider the combination of software quality AND a professional staff key to achieving that goal.</w:t>
      </w:r>
    </w:p>
    <w:p>
      <w:pPr>
        <w:sectPr>
          <w:headerReference w:type="default" r:id="rId7"/>
          <w:headerReference w:type="first" r:id="rId8"/>
          <w:footerReference w:type="default" r:id="rId9"/>
          <w:footerReference w:type="first" r:id="rId10"/>
          <w:type w:val="nextPage"/>
          <w:pgSz w:w="12240" w:h="15840"/>
          <w:pgMar w:left="1440" w:right="1440" w:gutter="0" w:header="720" w:top="1440" w:footer="432" w:bottom="1152"/>
          <w:pgNumType w:start="1" w:fmt="decimal"/>
          <w:formProt w:val="false"/>
          <w:titlePg/>
          <w:textDirection w:val="lrTb"/>
          <w:docGrid w:type="default" w:linePitch="360" w:charSpace="0"/>
        </w:sectPr>
        <w:pStyle w:val="Normal"/>
        <w:jc w:val="both"/>
        <w:rPr/>
      </w:pPr>
      <w:r>
        <w:rPr/>
      </w:r>
    </w:p>
    <w:p>
      <w:pPr>
        <w:pStyle w:val="Normal"/>
        <w:jc w:val="center"/>
        <w:rPr/>
      </w:pPr>
      <w:r>
        <w:rPr/>
      </w:r>
    </w:p>
    <w:p>
      <w:pPr>
        <w:pStyle w:val="CoverPage1"/>
        <w:rPr>
          <w:caps w:val="false"/>
          <w:smallCaps w:val="false"/>
        </w:rPr>
      </w:pPr>
      <w:r>
        <mc:AlternateContent>
          <mc:Choice Requires="wps">
            <w:drawing>
              <wp:anchor behindDoc="1" distT="0" distB="0" distL="114935" distR="114935" simplePos="0" locked="0" layoutInCell="1" allowOverlap="1" relativeHeight="3">
                <wp:simplePos x="0" y="0"/>
                <wp:positionH relativeFrom="column">
                  <wp:align>center</wp:align>
                </wp:positionH>
                <wp:positionV relativeFrom="paragraph">
                  <wp:posOffset>-121920</wp:posOffset>
                </wp:positionV>
                <wp:extent cx="5377815" cy="457200"/>
                <wp:effectExtent l="5715" t="5080" r="80645" b="81915"/>
                <wp:wrapNone/>
                <wp:docPr id="5" name=""/>
                <a:graphic xmlns:a="http://schemas.openxmlformats.org/drawingml/2006/main">
                  <a:graphicData uri="http://schemas.microsoft.com/office/word/2010/wordprocessingShape">
                    <wps:wsp>
                      <wps:cNvSpPr/>
                      <wps:spPr>
                        <a:xfrm>
                          <a:off x="0" y="0"/>
                          <a:ext cx="5377680" cy="457200"/>
                        </a:xfrm>
                        <a:prstGeom prst="octagon">
                          <a:avLst>
                            <a:gd name="adj" fmla="val 29287"/>
                          </a:avLst>
                        </a:prstGeom>
                        <a:solidFill>
                          <a:srgbClr val="ffffff"/>
                        </a:soli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shape id="shape_0" fillcolor="white" stroked="t" o:allowincell="f" style="position:absolute;margin-left:22.25pt;margin-top:-9.6pt;width:423.4pt;height:35.95pt;mso-wrap-style:none;v-text-anchor:middle;mso-position-horizontal:center" type="_x0000_t10">
                <v:fill o:detectmouseclick="t" type="solid" color2="black"/>
                <v:stroke color="black" weight="9360" joinstyle="miter" endcap="flat"/>
                <v:shadow on="t" obscured="f" color="gray"/>
                <w10:wrap type="none"/>
              </v:shape>
            </w:pict>
          </mc:Fallback>
        </mc:AlternateContent>
      </w:r>
      <w:r>
        <w:rPr>
          <w:caps w:val="false"/>
          <w:smallCaps w:val="false"/>
        </w:rPr>
        <w:t>Sample Source Monitoring Customer List (DAS)</w:t>
      </w:r>
    </w:p>
    <w:p>
      <w:pPr>
        <w:pStyle w:val="Normal"/>
        <w:jc w:val="center"/>
        <w:rPr/>
      </w:pPr>
      <w:r>
        <w:rPr/>
      </w:r>
    </w:p>
    <w:p>
      <w:pPr>
        <w:pStyle w:val="Normal"/>
        <w:jc w:val="center"/>
        <w:rPr/>
      </w:pPr>
      <w:r>
        <w:rPr/>
      </w:r>
    </w:p>
    <w:p>
      <w:pPr>
        <w:pStyle w:val="Normal"/>
        <w:jc w:val="center"/>
        <w:rPr/>
      </w:pPr>
      <w:r>
        <w:rPr/>
        <w:t>(Contact ESC for a full list of customers)</w:t>
      </w:r>
    </w:p>
    <w:p>
      <w:pPr>
        <w:pStyle w:val="Normal"/>
        <w:jc w:val="center"/>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6"/>
              <w:ind w:hanging="0" w:start="0"/>
              <w:rPr>
                <w:b/>
                <w:bCs/>
                <w:u w:val="single"/>
              </w:rPr>
            </w:pPr>
            <w:r>
              <w:rPr>
                <w:b/>
                <w:bCs/>
                <w:u w:val="single"/>
              </w:rPr>
              <w:t>Large Utilities</w:t>
            </w:r>
          </w:p>
        </w:tc>
        <w:tc>
          <w:tcPr>
            <w:tcW w:w="4788" w:type="dxa"/>
            <w:tcBorders/>
          </w:tcPr>
          <w:p>
            <w:pPr>
              <w:pStyle w:val="Heading6"/>
              <w:ind w:hanging="0" w:start="0"/>
              <w:rPr>
                <w:b/>
                <w:bCs/>
                <w:u w:val="single"/>
              </w:rPr>
            </w:pPr>
            <w:r>
              <w:rPr>
                <w:b/>
                <w:bCs/>
                <w:u w:val="single"/>
              </w:rPr>
              <w:t>Industrial Sources</w:t>
            </w:r>
          </w:p>
        </w:tc>
      </w:tr>
      <w:tr>
        <w:trPr>
          <w:trHeight w:val="351" w:hRule="atLeast"/>
        </w:trPr>
        <w:tc>
          <w:tcPr>
            <w:tcW w:w="4788" w:type="dxa"/>
            <w:tcBorders/>
            <w:vAlign w:val="bottom"/>
          </w:tcPr>
          <w:p>
            <w:pPr>
              <w:pStyle w:val="Normal"/>
              <w:jc w:val="center"/>
              <w:rPr/>
            </w:pPr>
            <w:r>
              <w:rPr/>
              <w:t>American Electric Power</w:t>
            </w:r>
          </w:p>
        </w:tc>
        <w:tc>
          <w:tcPr>
            <w:tcW w:w="4788" w:type="dxa"/>
            <w:tcBorders/>
            <w:vAlign w:val="bottom"/>
          </w:tcPr>
          <w:p>
            <w:pPr>
              <w:pStyle w:val="Normal"/>
              <w:jc w:val="center"/>
              <w:rPr/>
            </w:pPr>
            <w:r>
              <w:rPr/>
              <w:t>Motiva</w:t>
            </w:r>
          </w:p>
        </w:tc>
      </w:tr>
      <w:tr>
        <w:trPr/>
        <w:tc>
          <w:tcPr>
            <w:tcW w:w="4788" w:type="dxa"/>
            <w:tcBorders/>
          </w:tcPr>
          <w:p>
            <w:pPr>
              <w:pStyle w:val="Normal"/>
              <w:jc w:val="center"/>
              <w:rPr/>
            </w:pPr>
            <w:r>
              <w:rPr/>
              <w:t>Reliant Energy</w:t>
            </w:r>
          </w:p>
        </w:tc>
        <w:tc>
          <w:tcPr>
            <w:tcW w:w="4788" w:type="dxa"/>
            <w:tcBorders/>
          </w:tcPr>
          <w:p>
            <w:pPr>
              <w:pStyle w:val="Normal"/>
              <w:jc w:val="center"/>
              <w:rPr/>
            </w:pPr>
            <w:r>
              <w:rPr/>
              <w:t>TOSCO Refining</w:t>
            </w:r>
          </w:p>
        </w:tc>
      </w:tr>
      <w:tr>
        <w:trPr/>
        <w:tc>
          <w:tcPr>
            <w:tcW w:w="4788" w:type="dxa"/>
            <w:tcBorders/>
          </w:tcPr>
          <w:p>
            <w:pPr>
              <w:pStyle w:val="Normal"/>
              <w:jc w:val="center"/>
              <w:rPr/>
            </w:pPr>
            <w:r>
              <w:rPr/>
              <w:t>Southern California Edison</w:t>
            </w:r>
          </w:p>
        </w:tc>
        <w:tc>
          <w:tcPr>
            <w:tcW w:w="4788" w:type="dxa"/>
            <w:tcBorders/>
          </w:tcPr>
          <w:p>
            <w:pPr>
              <w:pStyle w:val="Normal"/>
              <w:jc w:val="center"/>
              <w:rPr/>
            </w:pPr>
            <w:r>
              <w:rPr/>
              <w:t>Westvaco</w:t>
            </w:r>
          </w:p>
        </w:tc>
      </w:tr>
      <w:tr>
        <w:trPr/>
        <w:tc>
          <w:tcPr>
            <w:tcW w:w="4788" w:type="dxa"/>
            <w:tcBorders/>
          </w:tcPr>
          <w:p>
            <w:pPr>
              <w:pStyle w:val="Normal"/>
              <w:jc w:val="center"/>
              <w:rPr/>
            </w:pPr>
            <w:r>
              <w:rPr/>
              <w:t>Tennessee Valley Authority</w:t>
            </w:r>
          </w:p>
        </w:tc>
        <w:tc>
          <w:tcPr>
            <w:tcW w:w="4788" w:type="dxa"/>
            <w:tcBorders/>
          </w:tcPr>
          <w:p>
            <w:pPr>
              <w:pStyle w:val="Normal"/>
              <w:jc w:val="center"/>
              <w:rPr/>
            </w:pPr>
            <w:r>
              <w:rPr/>
              <w:t>Wheelabrator</w:t>
            </w:r>
          </w:p>
        </w:tc>
      </w:tr>
      <w:tr>
        <w:trPr/>
        <w:tc>
          <w:tcPr>
            <w:tcW w:w="4788" w:type="dxa"/>
            <w:tcBorders/>
          </w:tcPr>
          <w:p>
            <w:pPr>
              <w:pStyle w:val="Normal"/>
              <w:jc w:val="center"/>
              <w:rPr/>
            </w:pPr>
            <w:r>
              <w:rPr/>
              <w:t>First Energy</w:t>
            </w:r>
          </w:p>
        </w:tc>
        <w:tc>
          <w:tcPr>
            <w:tcW w:w="4788" w:type="dxa"/>
            <w:tcBorders/>
          </w:tcPr>
          <w:p>
            <w:pPr>
              <w:pStyle w:val="Normal"/>
              <w:jc w:val="center"/>
              <w:rPr/>
            </w:pPr>
            <w:r>
              <w:rPr/>
              <w:t>Kaiser Aluminum</w:t>
            </w:r>
          </w:p>
        </w:tc>
      </w:tr>
      <w:tr>
        <w:trPr/>
        <w:tc>
          <w:tcPr>
            <w:tcW w:w="4788" w:type="dxa"/>
            <w:tcBorders/>
          </w:tcPr>
          <w:p>
            <w:pPr>
              <w:pStyle w:val="Normal"/>
              <w:jc w:val="center"/>
              <w:rPr/>
            </w:pPr>
            <w:r>
              <w:rPr/>
              <w:t>Duke Energy</w:t>
            </w:r>
          </w:p>
        </w:tc>
        <w:tc>
          <w:tcPr>
            <w:tcW w:w="4788" w:type="dxa"/>
            <w:tcBorders/>
          </w:tcPr>
          <w:p>
            <w:pPr>
              <w:pStyle w:val="Normal"/>
              <w:jc w:val="center"/>
              <w:rPr/>
            </w:pPr>
            <w:r>
              <w:rPr/>
              <w:t>Blue Circle Cement</w:t>
            </w:r>
          </w:p>
        </w:tc>
      </w:tr>
      <w:tr>
        <w:trPr/>
        <w:tc>
          <w:tcPr>
            <w:tcW w:w="4788" w:type="dxa"/>
            <w:tcBorders/>
          </w:tcPr>
          <w:p>
            <w:pPr>
              <w:pStyle w:val="Normal"/>
              <w:snapToGrid w:val="false"/>
              <w:jc w:val="center"/>
              <w:rPr/>
            </w:pPr>
            <w:r>
              <w:rPr/>
            </w:r>
          </w:p>
        </w:tc>
        <w:tc>
          <w:tcPr>
            <w:tcW w:w="4788" w:type="dxa"/>
            <w:tcBorders/>
          </w:tcPr>
          <w:p>
            <w:pPr>
              <w:pStyle w:val="Normal"/>
              <w:jc w:val="center"/>
              <w:rPr/>
            </w:pPr>
            <w:r>
              <w:rPr/>
              <w:t>Louisiana Pacific</w:t>
            </w:r>
          </w:p>
        </w:tc>
      </w:tr>
      <w:tr>
        <w:trPr/>
        <w:tc>
          <w:tcPr>
            <w:tcW w:w="4788" w:type="dxa"/>
            <w:tcBorders/>
          </w:tcPr>
          <w:p>
            <w:pPr>
              <w:pStyle w:val="Heading7"/>
              <w:ind w:hanging="0" w:start="0"/>
              <w:rPr>
                <w:u w:val="single"/>
              </w:rPr>
            </w:pPr>
            <w:r>
              <w:rPr>
                <w:u w:val="single"/>
              </w:rPr>
              <w:t>CEMS Supplied</w:t>
            </w:r>
          </w:p>
          <w:p>
            <w:pPr>
              <w:pStyle w:val="Normal"/>
              <w:jc w:val="center"/>
              <w:rPr/>
            </w:pPr>
            <w:r>
              <w:rPr/>
              <w:t>Dayton Power and Light Energy</w:t>
            </w:r>
          </w:p>
        </w:tc>
        <w:tc>
          <w:tcPr>
            <w:tcW w:w="4788" w:type="dxa"/>
            <w:tcBorders/>
          </w:tcPr>
          <w:p>
            <w:pPr>
              <w:pStyle w:val="Normal"/>
              <w:jc w:val="center"/>
              <w:rPr/>
            </w:pPr>
            <w:r>
              <w:rPr/>
              <w:t>ALCOA</w:t>
            </w:r>
          </w:p>
          <w:p>
            <w:pPr>
              <w:pStyle w:val="Normal"/>
              <w:jc w:val="center"/>
              <w:rPr/>
            </w:pPr>
            <w:r>
              <w:rPr/>
              <w:t>Eastman Chemical</w:t>
            </w:r>
          </w:p>
        </w:tc>
      </w:tr>
      <w:tr>
        <w:trPr/>
        <w:tc>
          <w:tcPr>
            <w:tcW w:w="4788" w:type="dxa"/>
            <w:tcBorders/>
          </w:tcPr>
          <w:p>
            <w:pPr>
              <w:pStyle w:val="Normal"/>
              <w:jc w:val="center"/>
              <w:rPr/>
            </w:pPr>
            <w:r>
              <w:rPr/>
              <w:t>Great River Energy</w:t>
            </w:r>
          </w:p>
        </w:tc>
        <w:tc>
          <w:tcPr>
            <w:tcW w:w="4788" w:type="dxa"/>
            <w:tcBorders/>
          </w:tcPr>
          <w:p>
            <w:pPr>
              <w:pStyle w:val="Normal"/>
              <w:jc w:val="center"/>
              <w:rPr/>
            </w:pPr>
            <w:r>
              <w:rPr/>
              <w:t>Roanoke Electric Steel</w:t>
            </w:r>
          </w:p>
        </w:tc>
      </w:tr>
      <w:tr>
        <w:trPr/>
        <w:tc>
          <w:tcPr>
            <w:tcW w:w="4788" w:type="dxa"/>
            <w:tcBorders/>
          </w:tcPr>
          <w:p>
            <w:pPr>
              <w:pStyle w:val="Normal"/>
              <w:jc w:val="center"/>
              <w:rPr/>
            </w:pPr>
            <w:r>
              <w:rPr/>
              <w:t>Calpine</w:t>
            </w:r>
          </w:p>
        </w:tc>
        <w:tc>
          <w:tcPr>
            <w:tcW w:w="4788" w:type="dxa"/>
            <w:tcBorders/>
          </w:tcPr>
          <w:p>
            <w:pPr>
              <w:pStyle w:val="Normal"/>
              <w:snapToGrid w:val="false"/>
              <w:jc w:val="center"/>
              <w:rPr/>
            </w:pPr>
            <w:r>
              <w:rPr/>
            </w:r>
          </w:p>
        </w:tc>
      </w:tr>
      <w:tr>
        <w:trPr/>
        <w:tc>
          <w:tcPr>
            <w:tcW w:w="4788" w:type="dxa"/>
            <w:tcBorders/>
          </w:tcPr>
          <w:p>
            <w:pPr>
              <w:pStyle w:val="Normal"/>
              <w:jc w:val="center"/>
              <w:rPr/>
            </w:pPr>
            <w:r>
              <w:rPr/>
              <w:t>International Paper</w:t>
            </w:r>
          </w:p>
        </w:tc>
        <w:tc>
          <w:tcPr>
            <w:tcW w:w="4788" w:type="dxa"/>
            <w:tcBorders/>
          </w:tcPr>
          <w:p>
            <w:pPr>
              <w:pStyle w:val="Heading6"/>
              <w:ind w:hanging="0" w:start="0"/>
              <w:rPr>
                <w:b/>
                <w:bCs/>
                <w:u w:val="single"/>
              </w:rPr>
            </w:pPr>
            <w:r>
              <w:rPr>
                <w:b/>
                <w:bCs/>
                <w:u w:val="single"/>
              </w:rPr>
              <w:t>Municipal Utilities</w:t>
            </w:r>
          </w:p>
        </w:tc>
      </w:tr>
      <w:tr>
        <w:trPr/>
        <w:tc>
          <w:tcPr>
            <w:tcW w:w="4788" w:type="dxa"/>
            <w:tcBorders/>
          </w:tcPr>
          <w:p>
            <w:pPr>
              <w:pStyle w:val="Normal"/>
              <w:jc w:val="center"/>
              <w:rPr/>
            </w:pPr>
            <w:r>
              <w:rPr/>
              <w:t>AECI</w:t>
            </w:r>
          </w:p>
        </w:tc>
        <w:tc>
          <w:tcPr>
            <w:tcW w:w="4788" w:type="dxa"/>
            <w:tcBorders/>
          </w:tcPr>
          <w:p>
            <w:pPr>
              <w:pStyle w:val="Normal"/>
              <w:jc w:val="center"/>
              <w:rPr/>
            </w:pPr>
            <w:r>
              <w:rPr/>
              <w:t>Associated Electric Cooperative (AECI)</w:t>
            </w:r>
          </w:p>
        </w:tc>
      </w:tr>
      <w:tr>
        <w:trPr/>
        <w:tc>
          <w:tcPr>
            <w:tcW w:w="4788" w:type="dxa"/>
            <w:tcBorders/>
          </w:tcPr>
          <w:p>
            <w:pPr>
              <w:pStyle w:val="Normal"/>
              <w:jc w:val="center"/>
              <w:rPr/>
            </w:pPr>
            <w:r>
              <w:rPr/>
              <w:t>First Energy</w:t>
            </w:r>
          </w:p>
        </w:tc>
        <w:tc>
          <w:tcPr>
            <w:tcW w:w="4788" w:type="dxa"/>
            <w:tcBorders/>
          </w:tcPr>
          <w:p>
            <w:pPr>
              <w:pStyle w:val="Normal"/>
              <w:jc w:val="center"/>
              <w:rPr/>
            </w:pPr>
            <w:r>
              <w:rPr/>
              <w:t>City of Colorado Springs, Colorado</w:t>
            </w:r>
          </w:p>
        </w:tc>
      </w:tr>
      <w:tr>
        <w:trPr/>
        <w:tc>
          <w:tcPr>
            <w:tcW w:w="4788" w:type="dxa"/>
            <w:tcBorders/>
          </w:tcPr>
          <w:p>
            <w:pPr>
              <w:pStyle w:val="Normal"/>
              <w:jc w:val="center"/>
              <w:rPr/>
            </w:pPr>
            <w:r>
              <w:rPr/>
              <w:t>East Kentucky Power</w:t>
            </w:r>
          </w:p>
        </w:tc>
        <w:tc>
          <w:tcPr>
            <w:tcW w:w="4788" w:type="dxa"/>
            <w:tcBorders/>
          </w:tcPr>
          <w:p>
            <w:pPr>
              <w:pStyle w:val="Normal"/>
              <w:jc w:val="center"/>
              <w:rPr/>
            </w:pPr>
            <w:r>
              <w:rPr/>
              <w:t>Michigan South Central Power</w:t>
            </w:r>
          </w:p>
        </w:tc>
      </w:tr>
      <w:tr>
        <w:trPr/>
        <w:tc>
          <w:tcPr>
            <w:tcW w:w="4788" w:type="dxa"/>
            <w:tcBorders/>
          </w:tcPr>
          <w:p>
            <w:pPr>
              <w:pStyle w:val="Normal"/>
              <w:snapToGrid w:val="false"/>
              <w:jc w:val="center"/>
              <w:rPr/>
            </w:pPr>
            <w:r>
              <w:rPr/>
            </w:r>
          </w:p>
        </w:tc>
        <w:tc>
          <w:tcPr>
            <w:tcW w:w="4788" w:type="dxa"/>
            <w:tcBorders/>
          </w:tcPr>
          <w:p>
            <w:pPr>
              <w:pStyle w:val="Normal"/>
              <w:jc w:val="center"/>
              <w:rPr/>
            </w:pPr>
            <w:r>
              <w:rPr/>
              <w:t>City of Lakeland, Florida</w:t>
            </w:r>
          </w:p>
        </w:tc>
      </w:tr>
      <w:tr>
        <w:trPr/>
        <w:tc>
          <w:tcPr>
            <w:tcW w:w="4788" w:type="dxa"/>
            <w:tcBorders/>
          </w:tcPr>
          <w:p>
            <w:pPr>
              <w:pStyle w:val="Normal"/>
              <w:snapToGrid w:val="false"/>
              <w:jc w:val="center"/>
              <w:rPr/>
            </w:pPr>
            <w:r>
              <w:rPr/>
            </w:r>
          </w:p>
        </w:tc>
        <w:tc>
          <w:tcPr>
            <w:tcW w:w="4788" w:type="dxa"/>
            <w:tcBorders/>
          </w:tcPr>
          <w:p>
            <w:pPr>
              <w:pStyle w:val="Normal"/>
              <w:jc w:val="center"/>
              <w:rPr/>
            </w:pPr>
            <w:r>
              <w:rPr/>
              <w:t>Holland (MI) Board of Public Works</w:t>
            </w:r>
          </w:p>
        </w:tc>
      </w:tr>
    </w:tbl>
    <w:p>
      <w:pPr>
        <w:pStyle w:val="Normal"/>
        <w:jc w:val="center"/>
        <w:rPr/>
      </w:pPr>
      <w:r>
        <w:rPr/>
      </w:r>
    </w:p>
    <w:p>
      <w:pPr>
        <w:pStyle w:val="Heading4"/>
        <w:ind w:hanging="0" w:start="0"/>
        <w:rPr>
          <w:sz w:val="40"/>
        </w:rPr>
      </w:pPr>
      <w:r>
        <w:rPr>
          <w:sz w:val="40"/>
        </w:rPr>
        <w:t>ESC Ambient Customers</w:t>
      </w:r>
    </w:p>
    <w:p>
      <w:pPr>
        <w:pStyle w:val="Header"/>
        <w:tabs>
          <w:tab w:val="left" w:pos="720" w:leader="none"/>
          <w:tab w:val="left" w:pos="1440" w:leader="none"/>
          <w:tab w:val="right" w:pos="9360" w:leader="none"/>
        </w:tabs>
        <w:rPr/>
      </w:pPr>
      <w:r>
        <w:drawing>
          <wp:anchor behindDoc="1" distT="0" distB="0" distL="114935" distR="114935" simplePos="0" locked="0" layoutInCell="1" allowOverlap="1" relativeHeight="6">
            <wp:simplePos x="0" y="0"/>
            <wp:positionH relativeFrom="column">
              <wp:align>center</wp:align>
            </wp:positionH>
            <wp:positionV relativeFrom="paragraph">
              <wp:posOffset>-6350</wp:posOffset>
            </wp:positionV>
            <wp:extent cx="4963795" cy="3581400"/>
            <wp:effectExtent l="0" t="0" r="0" b="0"/>
            <wp:wrapNone/>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1"/>
                    <a:stretch>
                      <a:fillRect/>
                    </a:stretch>
                  </pic:blipFill>
                  <pic:spPr bwMode="auto">
                    <a:xfrm>
                      <a:off x="0" y="0"/>
                      <a:ext cx="4963795" cy="3581400"/>
                    </a:xfrm>
                    <a:prstGeom prst="rect">
                      <a:avLst/>
                    </a:prstGeom>
                    <a:noFill/>
                    <a:ln w="6350">
                      <a:solidFill>
                        <a:srgbClr val="000000"/>
                      </a:solidFill>
                    </a:ln>
                  </pic:spPr>
                </pic:pic>
              </a:graphicData>
            </a:graphic>
          </wp:anchor>
        </w:drawing>
      </w:r>
      <w:r>
        <w:rPr/>
        <w:t>how do I delete pages</w:t>
      </w:r>
    </w:p>
    <w:p>
      <w:pPr>
        <w:pStyle w:val="Header"/>
        <w:tabs>
          <w:tab w:val="left" w:pos="720" w:leader="none"/>
          <w:tab w:val="left" w:pos="1440" w:leader="none"/>
          <w:tab w:val="right" w:pos="9360" w:leader="none"/>
        </w:tabs>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enter" w:pos="4674" w:leader="none"/>
        <w:tab w:val="right" w:pos="9360" w:leader="none"/>
      </w:tabs>
      <w:rPr>
        <w:rFonts w:ascii="Arial" w:hAnsi="Arial" w:cs="Arial"/>
        <w:sz w:val="20"/>
      </w:rPr>
    </w:pPr>
    <w:r>
      <w:rPr>
        <w:rFonts w:cs="Arial" w:ascii="Arial" w:hAnsi="Arial"/>
        <w:sz w:val="20"/>
      </w:rPr>
      <w:t>August 24, 2001</w:t>
      <w:tab/>
      <w:t>ESC</w:t>
      <w:tab/>
      <w:t xml:space="preserve">Page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enter" w:pos="4674" w:leader="none"/>
        <w:tab w:val="right" w:pos="9360" w:leader="none"/>
      </w:tabs>
      <w:rPr/>
    </w:pPr>
    <w:r>
      <w:rPr>
        <w:rFonts w:cs="Arial" w:ascii="Arial" w:hAnsi="Arial"/>
        <w:sz w:val="20"/>
      </w:rPr>
      <w:t>August 24, 2001</w:t>
      <w:tab/>
      <w:t>ESC</w:t>
      <w:tab/>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3</w:t>
    </w:r>
    <w:r>
      <w:rPr>
        <w:rStyle w:val="PageNumber"/>
        <w:sz w:val="20"/>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enter" w:pos="4674" w:leader="none"/>
        <w:tab w:val="right" w:pos="9360" w:leader="none"/>
      </w:tabs>
      <w:rPr/>
    </w:pPr>
    <w:r>
      <w:rPr>
        <w:rFonts w:cs="Arial" w:ascii="Arial" w:hAnsi="Arial"/>
        <w:sz w:val="20"/>
      </w:rPr>
      <w:t>August 24, 2001</w:t>
      <w:tab/>
      <w:t>ESC</w:t>
      <w:tab/>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1</w:t>
    </w:r>
    <w:r>
      <w:rPr>
        <w:rStyle w:val="PageNumber"/>
        <w:sz w:val="20"/>
        <w:rFonts w:cs="Arial" w:ascii="Arial" w:hAnsi="Arial"/>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enter" w:pos="4674" w:leader="none"/>
        <w:tab w:val="right" w:pos="9360" w:leader="none"/>
      </w:tabs>
      <w:rPr/>
    </w:pPr>
    <w:r>
      <w:rPr>
        <w:rFonts w:cs="Arial" w:ascii="Arial" w:hAnsi="Arial"/>
        <w:sz w:val="20"/>
      </w:rPr>
      <w:t>August 24, 2001</w:t>
      <w:tab/>
      <w:t>ESC</w:t>
      <w:tab/>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0</w:t>
    </w:r>
    <w:r>
      <w:rPr>
        <w:rStyle w:val="PageNumber"/>
        <w:sz w:val="20"/>
        <w:rFonts w:cs="Arial" w:ascii="Arial" w:hAnsi="Arial"/>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left" w:pos="3319" w:leader="none"/>
        <w:tab w:val="center" w:pos="4674" w:leader="none"/>
        <w:tab w:val="right" w:pos="9360" w:leader="none"/>
      </w:tabs>
      <w:rPr/>
    </w:pPr>
    <w:r>
      <w:rPr>
        <w:rFonts w:cs="Arial" w:ascii="Arial" w:hAnsi="Arial"/>
        <w:sz w:val="20"/>
      </w:rPr>
      <w:t>August 24, 2001</w:t>
      <w:tab/>
      <w:tab/>
      <w:t>ESC</w:t>
      <w:tab/>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4</w:t>
    </w:r>
    <w:r>
      <w:rPr>
        <w:rStyle w:val="PageNumber"/>
        <w:sz w:val="20"/>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ab/>
    </w:r>
    <w:r>
      <w:rPr>
        <w:rFonts w:cs="Arial" w:ascii="Arial" w:hAnsi="Arial"/>
        <w:sz w:val="20"/>
      </w:rPr>
      <w:t>Environmental Systems Corporation Statement of Qualifications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ab/>
    </w:r>
    <w:r>
      <w:rPr>
        <w:rFonts w:cs="Arial" w:ascii="Arial" w:hAnsi="Arial"/>
        <w:sz w:val="20"/>
      </w:rPr>
      <w:t>Environmental Systems Corporation Statement of Qualifications</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ab/>
    </w:r>
    <w:r>
      <w:rPr>
        <w:rFonts w:cs="Arial" w:ascii="Arial" w:hAnsi="Arial"/>
        <w:sz w:val="20"/>
      </w:rPr>
      <w:t>Environmental Systems Corporation Statement of Qualifications</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ab/>
    </w:r>
    <w:r>
      <w:rPr>
        <w:rFonts w:cs="Arial" w:ascii="Arial" w:hAnsi="Arial"/>
        <w:sz w:val="20"/>
      </w:rPr>
      <w:t>Environmental Systems Corporation Statement of Qualifications</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r>
      <w:rPr/>
      <w:tab/>
    </w:r>
    <w:r>
      <w:rPr>
        <w:rFonts w:cs="Arial" w:ascii="Arial" w:hAnsi="Arial"/>
        <w:sz w:val="20"/>
      </w:rPr>
      <w:t>Sample Source Monitoring Customer List (DAS)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left" w:pos="720" w:leader="none"/>
        <w:tab w:val="left" w:pos="1440" w:leader="none"/>
        <w:tab w:val="right" w:pos="9360" w:leader="none"/>
      </w:tabs>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numPr>
        <w:ilvl w:val="0"/>
        <w:numId w:val="1"/>
      </w:numPr>
      <w:tabs>
        <w:tab w:val="clear" w:pos="720"/>
        <w:tab w:val="clear" w:pos="1440"/>
        <w:tab w:val="left" w:pos="4680" w:leader="none"/>
        <w:tab w:val="center" w:pos="9360" w:leader="none"/>
      </w:tabs>
      <w:autoSpaceDE w:val="true"/>
      <w:ind w:hanging="734" w:start="734" w:end="0"/>
      <w:jc w:val="center"/>
      <w:outlineLvl w:val="0"/>
    </w:pPr>
    <w:rPr>
      <w:rFonts w:ascii="Times New Roman" w:hAnsi="Times New Roman" w:cs="Times New Roman"/>
      <w:b/>
      <w:bCs/>
      <w:caps/>
      <w:sz w:val="36"/>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right" w:pos="9360" w:leader="none"/>
      </w:tabs>
      <w:outlineLvl w:val="1"/>
    </w:pPr>
    <w:rPr>
      <w:sz w:val="32"/>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right" w:pos="9360" w:leader="none"/>
      </w:tabs>
      <w:outlineLvl w:val="2"/>
    </w:pPr>
    <w:rPr>
      <w:b/>
      <w:bCs/>
    </w:rPr>
  </w:style>
  <w:style w:type="paragraph" w:styleId="Heading4">
    <w:name w:val="heading 4"/>
    <w:basedOn w:val="Normal"/>
    <w:next w:val="Normal"/>
    <w:qFormat/>
    <w:pPr>
      <w:keepNext w:val="true"/>
      <w:widowControl/>
      <w:numPr>
        <w:ilvl w:val="3"/>
        <w:numId w:val="1"/>
      </w:numPr>
      <w:tabs>
        <w:tab w:val="clear" w:pos="720"/>
        <w:tab w:val="clear" w:pos="1440"/>
        <w:tab w:val="clear" w:pos="9360"/>
      </w:tabs>
      <w:autoSpaceDE w:val="true"/>
      <w:jc w:val="center"/>
      <w:outlineLvl w:val="3"/>
    </w:pPr>
    <w:rPr>
      <w:sz w:val="48"/>
    </w:rPr>
  </w:style>
  <w:style w:type="paragraph" w:styleId="Heading5">
    <w:name w:val="heading 5"/>
    <w:basedOn w:val="Normal"/>
    <w:next w:val="Normal"/>
    <w:qFormat/>
    <w:pPr>
      <w:keepNext w:val="true"/>
      <w:numPr>
        <w:ilvl w:val="4"/>
        <w:numId w:val="1"/>
      </w:numPr>
      <w:tabs>
        <w:tab w:val="left" w:pos="720" w:leader="none"/>
        <w:tab w:val="left" w:pos="1440" w:leader="none"/>
        <w:tab w:val="left" w:pos="5757" w:leader="none"/>
        <w:tab w:val="right" w:pos="9360" w:leader="none"/>
      </w:tabs>
      <w:jc w:val="both"/>
      <w:outlineLvl w:val="4"/>
    </w:pPr>
    <w:rPr>
      <w:i/>
      <w:iCs/>
      <w:u w:val="single"/>
    </w:rPr>
  </w:style>
  <w:style w:type="paragraph" w:styleId="Heading6">
    <w:name w:val="heading 6"/>
    <w:basedOn w:val="Normal"/>
    <w:next w:val="Normal"/>
    <w:qFormat/>
    <w:pPr>
      <w:keepNext w:val="true"/>
      <w:numPr>
        <w:ilvl w:val="5"/>
        <w:numId w:val="1"/>
      </w:numPr>
      <w:jc w:val="center"/>
      <w:outlineLvl w:val="5"/>
    </w:pPr>
    <w:rPr>
      <w:i/>
      <w:iCs/>
    </w:rPr>
  </w:style>
  <w:style w:type="paragraph" w:styleId="Heading7">
    <w:name w:val="heading 7"/>
    <w:basedOn w:val="Normal"/>
    <w:next w:val="Normal"/>
    <w:qFormat/>
    <w:pPr>
      <w:keepNext w:val="true"/>
      <w:numPr>
        <w:ilvl w:val="6"/>
        <w:numId w:val="1"/>
      </w:numPr>
      <w:jc w:val="center"/>
      <w:outlineLvl w:val="6"/>
    </w:pPr>
    <w:rPr>
      <w:b/>
      <w:bCs/>
      <w:i/>
      <w:iCs/>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lear" w:pos="1440"/>
        <w:tab w:val="clear" w:pos="9360"/>
        <w:tab w:val="center" w:pos="4986" w:leader="none"/>
        <w:tab w:val="right" w:pos="9972" w:leader="none"/>
      </w:tabs>
    </w:pPr>
    <w:rPr/>
  </w:style>
  <w:style w:type="paragraph" w:styleId="Header">
    <w:name w:val="header"/>
    <w:basedOn w:val="Normal"/>
    <w:pPr>
      <w:tabs>
        <w:tab w:val="clear" w:pos="720"/>
        <w:tab w:val="clear" w:pos="1440"/>
        <w:tab w:val="right" w:pos="9360" w:leader="none"/>
      </w:tabs>
    </w:pPr>
    <w:rPr/>
  </w:style>
  <w:style w:type="paragraph" w:styleId="Footer">
    <w:name w:val="footer"/>
    <w:basedOn w:val="Normal"/>
    <w:pPr>
      <w:tabs>
        <w:tab w:val="clear" w:pos="720"/>
        <w:tab w:val="clear" w:pos="1440"/>
        <w:tab w:val="right" w:pos="9360" w:leader="none"/>
      </w:tabs>
    </w:pPr>
    <w:rPr/>
  </w:style>
  <w:style w:type="paragraph" w:styleId="COVERPAGEHEADING-1">
    <w:name w:val="COVER PAGE HEADING-1"/>
    <w:basedOn w:val="Normal"/>
    <w:qFormat/>
    <w:pPr>
      <w:tabs>
        <w:tab w:val="left" w:pos="720" w:leader="none"/>
        <w:tab w:val="left" w:pos="1440" w:leader="none"/>
        <w:tab w:val="center" w:pos="4680" w:leader="none"/>
        <w:tab w:val="right" w:pos="9360" w:leader="none"/>
      </w:tabs>
      <w:jc w:val="center"/>
    </w:pPr>
    <w:rPr>
      <w:b/>
      <w:caps/>
      <w:sz w:val="36"/>
    </w:rPr>
  </w:style>
  <w:style w:type="paragraph" w:styleId="TOC1">
    <w:name w:val="toc 1"/>
    <w:basedOn w:val="Normal"/>
    <w:next w:val="Normal"/>
    <w:pPr>
      <w:tabs>
        <w:tab w:val="right" w:pos="720" w:leader="none"/>
        <w:tab w:val="right" w:pos="1440" w:leader="none"/>
        <w:tab w:val="right" w:pos="9360" w:leader="dot"/>
      </w:tabs>
      <w:spacing w:before="360" w:after="0"/>
      <w:ind w:hanging="1440" w:start="1440" w:end="0"/>
    </w:pPr>
    <w:rPr>
      <w:b/>
      <w:caps/>
      <w:lang w:val="en-CA" w:eastAsia="en-CA"/>
    </w:rPr>
  </w:style>
  <w:style w:type="paragraph" w:styleId="CoverPageHeading-2">
    <w:name w:val="Cover Page Heading-2"/>
    <w:basedOn w:val="COVERPAGEHEADING-1"/>
    <w:qFormat/>
    <w:pPr>
      <w:tabs>
        <w:tab w:val="clear" w:pos="720"/>
        <w:tab w:val="clear" w:pos="1440"/>
        <w:tab w:val="clear" w:pos="9360"/>
        <w:tab w:val="center" w:pos="4680" w:leader="none"/>
      </w:tabs>
    </w:pPr>
    <w:rPr>
      <w:caps w:val="false"/>
      <w:smallCaps w:val="false"/>
      <w:sz w:val="28"/>
    </w:rPr>
  </w:style>
  <w:style w:type="paragraph" w:styleId="ListBullet">
    <w:name w:val="List Bullet"/>
    <w:basedOn w:val="Normal"/>
    <w:qFormat/>
    <w:pPr>
      <w:numPr>
        <w:ilvl w:val="0"/>
        <w:numId w:val="5"/>
      </w:numPr>
    </w:pPr>
    <w:rPr/>
  </w:style>
  <w:style w:type="paragraph" w:styleId="ListBullet2">
    <w:name w:val="List Bullet 2"/>
    <w:basedOn w:val="Normal"/>
    <w:qFormat/>
    <w:pPr>
      <w:numPr>
        <w:ilvl w:val="0"/>
        <w:numId w:val="3"/>
      </w:numPr>
    </w:pPr>
    <w:rPr/>
  </w:style>
  <w:style w:type="paragraph" w:styleId="ListNumber">
    <w:name w:val="List Number"/>
    <w:basedOn w:val="Normal"/>
    <w:qFormat/>
    <w:pPr>
      <w:numPr>
        <w:ilvl w:val="0"/>
        <w:numId w:val="4"/>
      </w:numPr>
    </w:pPr>
    <w:rPr/>
  </w:style>
  <w:style w:type="paragraph" w:styleId="ListNumber2">
    <w:name w:val="List Number 2"/>
    <w:basedOn w:val="Normal"/>
    <w:qFormat/>
    <w:pPr>
      <w:numPr>
        <w:ilvl w:val="0"/>
        <w:numId w:val="2"/>
      </w:numPr>
    </w:pPr>
    <w:rPr/>
  </w:style>
  <w:style w:type="paragraph" w:styleId="Header-TIN">
    <w:name w:val="Header-TIN"/>
    <w:basedOn w:val="Normal"/>
    <w:qFormat/>
    <w:pPr>
      <w:pBdr>
        <w:bottom w:val="single" w:sz="4" w:space="1" w:color="000000"/>
      </w:pBdr>
      <w:tabs>
        <w:tab w:val="clear" w:pos="720"/>
        <w:tab w:val="clear" w:pos="1440"/>
        <w:tab w:val="right" w:pos="9360" w:leader="none"/>
      </w:tabs>
      <w:jc w:val="end"/>
    </w:pPr>
    <w:rPr>
      <w:rFonts w:ascii="Arial" w:hAnsi="Arial" w:cs="Arial"/>
      <w:sz w:val="20"/>
    </w:rPr>
  </w:style>
  <w:style w:type="paragraph" w:styleId="TestText">
    <w:name w:val="Test Text"/>
    <w:basedOn w:val="BodyText"/>
    <w:qFormat/>
    <w:pPr>
      <w:tabs>
        <w:tab w:val="left" w:pos="720" w:leader="none"/>
        <w:tab w:val="left" w:pos="1440" w:leader="none"/>
        <w:tab w:val="left" w:pos="2160" w:leader="none"/>
        <w:tab w:val="right" w:pos="9360" w:leader="none"/>
      </w:tabs>
      <w:spacing w:before="0" w:after="0"/>
      <w:jc w:val="both"/>
    </w:pPr>
    <w:rPr>
      <w:rFonts w:ascii="CG Times;Times New Roman" w:hAnsi="CG Times;Times New Roman" w:cs="CG Times;Times New Roman"/>
    </w:rPr>
  </w:style>
  <w:style w:type="paragraph" w:styleId="CoverPageHeading-11">
    <w:name w:val="Cover Page Heading - 1"/>
    <w:basedOn w:val="Heading1"/>
    <w:qFormat/>
    <w:pPr>
      <w:widowControl/>
      <w:numPr>
        <w:ilvl w:val="0"/>
        <w:numId w:val="0"/>
      </w:numPr>
      <w:tabs>
        <w:tab w:val="clear" w:pos="9360"/>
        <w:tab w:val="left" w:pos="4680" w:leader="none"/>
      </w:tabs>
      <w:autoSpaceDE w:val="true"/>
      <w:ind w:hanging="734" w:start="734"/>
      <w:outlineLvl w:val="9"/>
    </w:pPr>
    <w:rPr>
      <w:bCs w:val="false"/>
      <w:caps w:val="false"/>
      <w:smallCaps w:val="false"/>
    </w:rPr>
  </w:style>
  <w:style w:type="paragraph" w:styleId="BodyText1">
    <w:name w:val="Body Text 1"/>
    <w:basedOn w:val="Normal"/>
    <w:qFormat/>
    <w:pPr>
      <w:tabs>
        <w:tab w:val="clear" w:pos="9360"/>
        <w:tab w:val="left" w:pos="720" w:leader="none"/>
        <w:tab w:val="left" w:pos="1440" w:leader="none"/>
      </w:tabs>
      <w:jc w:val="both"/>
    </w:pPr>
    <w:rPr>
      <w:rFonts w:ascii="CG Times;Times New Roman" w:hAnsi="CG Times;Times New Roman" w:cs="CG Times;Times New Roman"/>
    </w:rPr>
  </w:style>
  <w:style w:type="paragraph" w:styleId="CoverPage1">
    <w:name w:val="Cover Page 1"/>
    <w:basedOn w:val="Normal"/>
    <w:qFormat/>
    <w:pPr>
      <w:tabs>
        <w:tab w:val="clear" w:pos="9360"/>
        <w:tab w:val="left" w:pos="720" w:leader="none"/>
        <w:tab w:val="left" w:pos="1440" w:leader="none"/>
      </w:tabs>
      <w:jc w:val="center"/>
    </w:pPr>
    <w:rPr>
      <w:rFonts w:ascii="CG Times;Times New Roman" w:hAnsi="CG Times;Times New Roman" w:cs="CG Times;Times New Roman"/>
      <w:b/>
      <w:caps/>
      <w:sz w:val="36"/>
    </w:rPr>
  </w:style>
  <w:style w:type="paragraph" w:styleId="Style11">
    <w:name w:val="Style 1"/>
    <w:basedOn w:val="Normal"/>
    <w:qFormat/>
    <w:pPr>
      <w:tabs>
        <w:tab w:val="left" w:pos="720" w:leader="none"/>
        <w:tab w:val="left" w:pos="1440" w:leader="none"/>
        <w:tab w:val="left" w:pos="4680" w:leader="none"/>
        <w:tab w:val="center" w:pos="9360" w:leader="none"/>
      </w:tabs>
      <w:jc w:val="center"/>
    </w:pPr>
    <w:rPr>
      <w:b/>
      <w:caps/>
      <w:sz w:val="36"/>
    </w:rPr>
  </w:style>
  <w:style w:type="paragraph" w:styleId="Header-TIN1">
    <w:name w:val="Header - TIN"/>
    <w:basedOn w:val="Normal"/>
    <w:qFormat/>
    <w:pPr>
      <w:pBdr>
        <w:bottom w:val="single" w:sz="4" w:space="1" w:color="000000"/>
      </w:pBdr>
      <w:tabs>
        <w:tab w:val="clear" w:pos="720"/>
        <w:tab w:val="clear" w:pos="1440"/>
        <w:tab w:val="right" w:pos="9360" w:leader="none"/>
      </w:tabs>
      <w:jc w:val="both"/>
    </w:pPr>
    <w:rPr>
      <w:rFonts w:ascii="Arial" w:hAnsi="Arial" w:cs="Arial"/>
      <w:sz w:val="20"/>
    </w:rPr>
  </w:style>
  <w:style w:type="paragraph" w:styleId="Footer-TIN">
    <w:name w:val="Footer - TIN"/>
    <w:basedOn w:val="Normal"/>
    <w:qFormat/>
    <w:pPr>
      <w:pBdr>
        <w:top w:val="single" w:sz="4" w:space="1" w:color="000000"/>
      </w:pBdr>
      <w:tabs>
        <w:tab w:val="clear" w:pos="720"/>
        <w:tab w:val="clear" w:pos="1440"/>
        <w:tab w:val="right" w:pos="9360" w:leader="none"/>
      </w:tabs>
      <w:jc w:val="both"/>
    </w:pPr>
    <w:rPr>
      <w:rFonts w:ascii="Arial" w:hAnsi="Arial" w:cs="Arial"/>
      <w:sz w:val="20"/>
    </w:rPr>
  </w:style>
  <w:style w:type="paragraph" w:styleId="Footer-TIN1">
    <w:name w:val="Footer -  TIN"/>
    <w:basedOn w:val="Normal"/>
    <w:qFormat/>
    <w:pPr>
      <w:pBdr>
        <w:bottom w:val="single" w:sz="4" w:space="1" w:color="000000"/>
      </w:pBdr>
      <w:tabs>
        <w:tab w:val="left" w:pos="720" w:leader="none"/>
        <w:tab w:val="left" w:pos="1440" w:leader="none"/>
        <w:tab w:val="center" w:pos="4680" w:leader="none"/>
        <w:tab w:val="right" w:pos="9360" w:leader="none"/>
      </w:tabs>
      <w:spacing w:lineRule="exact" w:line="240"/>
    </w:pPr>
    <w:rPr>
      <w:rFonts w:ascii="Arial" w:hAnsi="Arial" w:cs="Arial"/>
      <w:sz w:val="20"/>
    </w:rPr>
  </w:style>
  <w:style w:type="paragraph" w:styleId="TOC2">
    <w:name w:val="toc 2"/>
    <w:basedOn w:val="Normal"/>
    <w:next w:val="Normal"/>
    <w:pPr>
      <w:tabs>
        <w:tab w:val="left" w:pos="720" w:leader="none"/>
        <w:tab w:val="left" w:pos="1440" w:leader="none"/>
        <w:tab w:val="right" w:pos="9360" w:leader="dot"/>
      </w:tabs>
      <w:ind w:hanging="0" w:start="720" w:end="0"/>
    </w:pPr>
    <w:rPr/>
  </w:style>
  <w:style w:type="paragraph" w:styleId="TOC3">
    <w:name w:val="toc 3"/>
    <w:basedOn w:val="Normal"/>
    <w:next w:val="Normal"/>
    <w:pPr>
      <w:tabs>
        <w:tab w:val="clear" w:pos="1440"/>
        <w:tab w:val="left" w:pos="720" w:leader="none"/>
        <w:tab w:val="right" w:pos="9360" w:leader="dot"/>
      </w:tabs>
      <w:ind w:hanging="720" w:start="2160" w:end="0"/>
    </w:pPr>
    <w:rPr>
      <w:sz w:val="22"/>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2.png"/><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2001-09-07T13:30:00Z</dcterms:created>
  <dc:creator>Pinheiro</dc:creator>
  <dc:description/>
  <dc:language>en-CA</dc:language>
  <cp:lastModifiedBy>Chris Keever</cp:lastModifiedBy>
  <cp:lastPrinted>2001-08-28T10:20:00Z</cp:lastPrinted>
  <dcterms:modified xsi:type="dcterms:W3CDTF">2001-09-19T18:34:00Z</dcterms:modified>
  <cp:revision>5</cp:revision>
  <dc:subject/>
  <dc:title>July 12, 2001</dc:title>
</cp:coreProperties>
</file>