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start="1440" w:end="0"/>
        <w:jc w:val="start"/>
        <w:rPr>
          <w:sz w:val="36"/>
        </w:rPr>
      </w:pPr>
      <w:r>
        <w:rPr>
          <w:sz w:val="36"/>
        </w:rPr>
      </w:r>
    </w:p>
    <w:p>
      <w:pPr>
        <w:pStyle w:val="Heading"/>
        <w:ind w:firstLine="720" w:start="1440" w:end="0"/>
        <w:jc w:val="start"/>
        <w:rPr>
          <w:sz w:val="36"/>
        </w:rPr>
      </w:pPr>
      <w:r>
        <w:rPr>
          <w:sz w:val="36"/>
        </w:rPr>
        <w:t>STATEMENT OF PRINCIPLES</w:t>
      </w:r>
    </w:p>
    <w:p>
      <w:pPr>
        <w:pStyle w:val="Heading"/>
        <w:rPr/>
      </w:pPr>
      <w:r>
        <w:rPr/>
        <w:t xml:space="preserve">TransCanada Mainline </w:t>
      </w:r>
    </w:p>
    <w:p>
      <w:pPr>
        <w:pStyle w:val="Heading"/>
        <w:rPr/>
      </w:pPr>
      <w:r>
        <w:rPr/>
        <w:t xml:space="preserve">Service and Pricing Settlement 2001 and 2002 </w:t>
      </w:r>
    </w:p>
    <w:p>
      <w:pPr>
        <w:pStyle w:val="Heading"/>
        <w:rPr/>
      </w:pPr>
      <w:r>
        <w:rPr/>
        <w:t>February 2001</w:t>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r>
    </w:p>
    <w:p>
      <w:pPr>
        <w:pStyle w:val="Normal"/>
        <w:rPr>
          <w:rFonts w:ascii="Times New Roman" w:hAnsi="Times New Roman" w:cs="Times New Roman"/>
          <w:kern w:val="0"/>
        </w:rPr>
      </w:pPr>
      <w:r>
        <w:rPr>
          <w:rFonts w:cs="Times New Roman"/>
          <w:kern w:val="0"/>
        </w:rPr>
      </w:r>
    </w:p>
    <w:p>
      <w:pPr>
        <w:pStyle w:val="Normal"/>
        <w:rPr/>
      </w:pPr>
      <w:r>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Overview</w:t>
      </w:r>
    </w:p>
    <w:p>
      <w:pPr>
        <w:pStyle w:val="Normal"/>
        <w:rPr>
          <w:rFonts w:ascii="Times New Roman" w:hAnsi="Times New Roman" w:cs="Times New Roman"/>
          <w:b/>
          <w:kern w:val="0"/>
          <w:sz w:val="28"/>
        </w:rPr>
      </w:pPr>
      <w:r>
        <w:rPr>
          <w:rFonts w:cs="Times New Roman"/>
          <w:b/>
          <w:kern w:val="0"/>
          <w:sz w:val="28"/>
        </w:rPr>
      </w:r>
    </w:p>
    <w:p>
      <w:pPr>
        <w:pStyle w:val="Heading1"/>
        <w:spacing w:before="0" w:after="0"/>
        <w:ind w:hanging="0" w:start="0"/>
        <w:rPr>
          <w:rFonts w:ascii="Times New Roman" w:hAnsi="Times New Roman" w:cs="Times New Roman"/>
          <w:b w:val="false"/>
          <w:sz w:val="24"/>
        </w:rPr>
      </w:pPr>
      <w:r>
        <w:rPr>
          <w:rFonts w:cs="Times New Roman" w:ascii="Times New Roman" w:hAnsi="Times New Roman"/>
          <w:b w:val="false"/>
          <w:sz w:val="24"/>
        </w:rPr>
        <w:t>This settlement is the result of broad industry negotiations and represents a balance of interests among the negotiating parties.  As there have been concessions made by all parties, this settlement must be approved as a package in its entirety.  The Parties agree that this Settlement is without prejudice and sets no precedent on any particular and individual issue in any future proceeding or forum.   This document will form the basis of a Memorandum of Understanding which requires acceptance by TransCanada and its stakeholders, each of which have unique approval processes.  Implementation of this settlement will require NEB approval.</w:t>
      </w:r>
    </w:p>
    <w:p>
      <w:pPr>
        <w:pStyle w:val="Heading1"/>
        <w:spacing w:before="0" w:after="0"/>
        <w:ind w:hanging="0" w:start="0"/>
        <w:rPr>
          <w:rFonts w:ascii="Times New Roman" w:hAnsi="Times New Roman" w:cs="Times New Roman"/>
          <w:b w:val="false"/>
          <w:kern w:val="0"/>
          <w:sz w:val="24"/>
        </w:rPr>
      </w:pPr>
      <w:r>
        <w:rPr>
          <w:rFonts w:cs="Times New Roman" w:ascii="Times New Roman" w:hAnsi="Times New Roman"/>
          <w:b w:val="false"/>
          <w:kern w:val="0"/>
          <w:sz w:val="24"/>
        </w:rPr>
        <w:t xml:space="preserve"> </w:t>
      </w:r>
    </w:p>
    <w:p>
      <w:pPr>
        <w:pStyle w:val="Normal"/>
        <w:rPr>
          <w:rFonts w:ascii="Times New Roman" w:hAnsi="Times New Roman" w:cs="Times New Roman"/>
          <w:b/>
          <w:kern w:val="0"/>
          <w:sz w:val="24"/>
        </w:rPr>
      </w:pPr>
      <w:r>
        <w:rPr>
          <w:rFonts w:cs="Times New Roman"/>
          <w:b/>
          <w:kern w:val="0"/>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Revenue Requirement 2001 and 2002</w:t>
      </w:r>
    </w:p>
    <w:p>
      <w:pPr>
        <w:pStyle w:val="Normal"/>
        <w:rPr>
          <w:rFonts w:ascii="Times New Roman" w:hAnsi="Times New Roman" w:cs="Times New Roman"/>
          <w:kern w:val="0"/>
        </w:rPr>
      </w:pPr>
      <w:r>
        <w:rPr>
          <w:rFonts w:cs="Times New Roman"/>
          <w:kern w:val="0"/>
        </w:rPr>
      </w:r>
    </w:p>
    <w:p>
      <w:pPr>
        <w:pStyle w:val="Normal"/>
        <w:rPr/>
      </w:pPr>
      <w:r>
        <w:rPr/>
        <w:t xml:space="preserve">All elements of the 2001 and 2002 revenue requirements with the exception of OM&amp;A will be treated on a flow through basis.  OM&amp;A variances between actual costs and those agreed to in this settlement will be to the account of TransCanada. </w:t>
      </w:r>
      <w:r>
        <w:rPr>
          <w:sz w:val="24"/>
        </w:rPr>
        <w:t>The parties to this settlement agree that the Cost of Capital issue will be addressed in another forum.</w:t>
      </w:r>
    </w:p>
    <w:p>
      <w:pPr>
        <w:pStyle w:val="Normal"/>
        <w:rPr>
          <w:sz w:val="24"/>
        </w:rPr>
      </w:pPr>
      <w:r>
        <w:rPr>
          <w:sz w:val="24"/>
        </w:rPr>
      </w:r>
    </w:p>
    <w:p>
      <w:pPr>
        <w:pStyle w:val="Normal"/>
        <w:rPr/>
      </w:pPr>
      <w:r>
        <w:rPr/>
      </w:r>
    </w:p>
    <w:p>
      <w:pPr>
        <w:pStyle w:val="Normal"/>
        <w:rPr/>
      </w:pPr>
      <w:r>
        <w:rPr/>
      </w:r>
    </w:p>
    <w:p>
      <w:pPr>
        <w:pStyle w:val="Normal"/>
        <w:rPr/>
      </w:pPr>
      <w:r>
        <w:rPr/>
      </w:r>
    </w:p>
    <w:p>
      <w:pPr>
        <w:pStyle w:val="Normal"/>
        <w:numPr>
          <w:ilvl w:val="0"/>
          <w:numId w:val="2"/>
        </w:numPr>
        <w:rPr>
          <w:b/>
          <w:i/>
          <w:i/>
          <w:sz w:val="24"/>
        </w:rPr>
      </w:pPr>
      <w:r>
        <w:rPr>
          <w:b/>
          <w:i/>
          <w:sz w:val="24"/>
        </w:rPr>
        <w:t>OM&amp;A</w:t>
      </w:r>
    </w:p>
    <w:p>
      <w:pPr>
        <w:pStyle w:val="BodyText"/>
        <w:rPr>
          <w:b/>
          <w:i/>
          <w:i/>
          <w:sz w:val="24"/>
        </w:rPr>
      </w:pPr>
      <w:r>
        <w:rPr>
          <w:b/>
          <w:i/>
          <w:sz w:val="24"/>
        </w:rPr>
      </w:r>
    </w:p>
    <w:p>
      <w:pPr>
        <w:pStyle w:val="BodyText"/>
        <w:rPr/>
      </w:pPr>
      <w:r>
        <w:rPr/>
        <w:t>OM&amp;A is fixed for 2001 commencing January 1, 2001 and for 2002 commencing January 1, 2002 using the parameters set out below:</w:t>
      </w:r>
    </w:p>
    <w:p>
      <w:pPr>
        <w:pStyle w:val="BodyText"/>
        <w:rPr/>
      </w:pPr>
      <w:r>
        <w:rPr/>
      </w:r>
    </w:p>
    <w:p>
      <w:pPr>
        <w:pStyle w:val="BodyText"/>
        <w:numPr>
          <w:ilvl w:val="0"/>
          <w:numId w:val="5"/>
        </w:numPr>
        <w:rPr/>
      </w:pPr>
      <w:r>
        <w:rPr/>
        <w:t>2001  -  $223 Million.</w:t>
      </w:r>
    </w:p>
    <w:p>
      <w:pPr>
        <w:pStyle w:val="BodyText"/>
        <w:numPr>
          <w:ilvl w:val="0"/>
          <w:numId w:val="5"/>
        </w:numPr>
        <w:rPr/>
      </w:pPr>
      <w:r>
        <w:rPr/>
        <w:t>2002  -  $216.5 Million.</w:t>
      </w:r>
    </w:p>
    <w:p>
      <w:pPr>
        <w:pStyle w:val="Normal"/>
        <w:rPr>
          <w:sz w:val="24"/>
        </w:rPr>
      </w:pPr>
      <w:r>
        <w:rPr>
          <w:sz w:val="24"/>
        </w:rPr>
      </w:r>
    </w:p>
    <w:p>
      <w:pPr>
        <w:pStyle w:val="Normal"/>
        <w:rPr>
          <w:sz w:val="24"/>
        </w:rPr>
      </w:pPr>
      <w:r>
        <w:rPr>
          <w:sz w:val="24"/>
        </w:rPr>
        <w:t>The foregoing amounts will be adjusted to reflect 2000 Merger Costs and Benefits Agreement OM&amp;A related actuals.</w:t>
      </w:r>
    </w:p>
    <w:p>
      <w:pPr>
        <w:pStyle w:val="Normal"/>
        <w:rPr>
          <w:sz w:val="24"/>
        </w:rPr>
      </w:pPr>
      <w:r>
        <w:rPr>
          <w:sz w:val="24"/>
        </w:rPr>
      </w:r>
    </w:p>
    <w:p>
      <w:pPr>
        <w:pStyle w:val="Normal"/>
        <w:rPr>
          <w:sz w:val="24"/>
        </w:rPr>
      </w:pPr>
      <w:r>
        <w:rPr>
          <w:sz w:val="24"/>
        </w:rPr>
        <w:t>For the purpose of this settlement, OM&amp;A includes Operating, Maintenance and Administration; Post Retirement Benefits; and Regulatory Commission costs.</w:t>
      </w:r>
    </w:p>
    <w:p>
      <w:pPr>
        <w:pStyle w:val="Normal"/>
        <w:rPr>
          <w:sz w:val="24"/>
        </w:rPr>
      </w:pPr>
      <w:r>
        <w:rPr>
          <w:sz w:val="24"/>
        </w:rPr>
      </w:r>
    </w:p>
    <w:p>
      <w:pPr>
        <w:pStyle w:val="Normal"/>
        <w:rPr>
          <w:sz w:val="24"/>
        </w:rPr>
      </w:pPr>
      <w:r>
        <w:rPr>
          <w:sz w:val="24"/>
        </w:rPr>
        <w:t>The parties agree to a mechanism that amortizes employee severance costs, for employees with a termination date in 2001 or 2002, over a 3 year period.</w:t>
      </w:r>
    </w:p>
    <w:p>
      <w:pPr>
        <w:pStyle w:val="Normal"/>
        <w:rPr>
          <w:sz w:val="24"/>
        </w:rPr>
      </w:pPr>
      <w:r>
        <w:rPr>
          <w:sz w:val="24"/>
        </w:rPr>
      </w:r>
    </w:p>
    <w:p>
      <w:pPr>
        <w:pStyle w:val="Normal"/>
        <w:numPr>
          <w:ilvl w:val="0"/>
          <w:numId w:val="2"/>
        </w:numPr>
        <w:rPr>
          <w:b/>
          <w:i/>
          <w:i/>
          <w:sz w:val="24"/>
        </w:rPr>
      </w:pPr>
      <w:r>
        <w:rPr>
          <w:b/>
          <w:i/>
          <w:sz w:val="24"/>
        </w:rPr>
        <w:t>Depreciation</w:t>
      </w:r>
    </w:p>
    <w:p>
      <w:pPr>
        <w:pStyle w:val="Normal"/>
        <w:rPr>
          <w:b/>
          <w:i/>
          <w:i/>
          <w:sz w:val="24"/>
        </w:rPr>
      </w:pPr>
      <w:r>
        <w:rPr>
          <w:b/>
          <w:i/>
          <w:sz w:val="24"/>
        </w:rPr>
      </w:r>
    </w:p>
    <w:p>
      <w:pPr>
        <w:pStyle w:val="Normal"/>
        <w:rPr>
          <w:sz w:val="24"/>
        </w:rPr>
      </w:pPr>
      <w:r>
        <w:rPr>
          <w:sz w:val="24"/>
        </w:rPr>
        <w:t>Depreciation is based on a composite rate of 2.75% in 2001 and 2.90% in 2002.  The individual depreciation rates underpinning the composite rates will continue to be applied to asset classes consistent with current practice.</w:t>
      </w:r>
    </w:p>
    <w:p>
      <w:pPr>
        <w:pStyle w:val="Normal"/>
        <w:rPr>
          <w:sz w:val="24"/>
        </w:rPr>
      </w:pPr>
      <w:r>
        <w:rPr>
          <w:sz w:val="24"/>
        </w:rPr>
      </w:r>
    </w:p>
    <w:p>
      <w:pPr>
        <w:pStyle w:val="Normal"/>
        <w:rPr>
          <w:sz w:val="24"/>
        </w:rPr>
      </w:pPr>
      <w:r>
        <w:rPr>
          <w:sz w:val="24"/>
        </w:rPr>
      </w:r>
    </w:p>
    <w:p>
      <w:pPr>
        <w:pStyle w:val="Normal"/>
        <w:numPr>
          <w:ilvl w:val="0"/>
          <w:numId w:val="2"/>
        </w:numPr>
        <w:rPr>
          <w:b/>
          <w:i/>
          <w:i/>
          <w:sz w:val="24"/>
        </w:rPr>
      </w:pPr>
      <w:r>
        <w:rPr>
          <w:b/>
          <w:i/>
          <w:sz w:val="24"/>
        </w:rPr>
        <w:t>Other</w:t>
      </w:r>
    </w:p>
    <w:p>
      <w:pPr>
        <w:pStyle w:val="Normal"/>
        <w:rPr>
          <w:b/>
          <w:i/>
          <w:i/>
          <w:sz w:val="24"/>
        </w:rPr>
      </w:pPr>
      <w:r>
        <w:rPr>
          <w:b/>
          <w:i/>
          <w:sz w:val="24"/>
        </w:rPr>
      </w:r>
    </w:p>
    <w:p>
      <w:pPr>
        <w:pStyle w:val="Normal"/>
        <w:rPr>
          <w:sz w:val="24"/>
        </w:rPr>
      </w:pPr>
      <w:r>
        <w:rPr>
          <w:sz w:val="24"/>
        </w:rPr>
        <w:t>The parties agree to refer the inventory management issue to the TTF.  Within three months of this settlement, TransCanada will present to the TTF the size of the program and the mechanics for disposition of any costs (book value less market value) in the 2002 test year.</w:t>
      </w:r>
    </w:p>
    <w:p>
      <w:pPr>
        <w:pStyle w:val="Normal"/>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Allocation Units</w:t>
      </w:r>
    </w:p>
    <w:p>
      <w:pPr>
        <w:pStyle w:val="Normal"/>
        <w:rPr>
          <w:rFonts w:ascii="Times New Roman" w:hAnsi="Times New Roman" w:cs="Times New Roman"/>
          <w:kern w:val="0"/>
        </w:rPr>
      </w:pPr>
      <w:r>
        <w:rPr>
          <w:rFonts w:cs="Times New Roman"/>
          <w:kern w:val="0"/>
        </w:rPr>
      </w:r>
    </w:p>
    <w:p>
      <w:pPr>
        <w:pStyle w:val="Normal"/>
        <w:rPr>
          <w:sz w:val="24"/>
        </w:rPr>
      </w:pPr>
      <w:r>
        <w:rPr>
          <w:sz w:val="24"/>
        </w:rPr>
        <w:t>Allocation units will be based on known contracts as of November 1 of the previous year and anticipated non-renewals for the test year (to be discussed).  Variance between forecast and actual allocation units will be deferred and recovered in the following test year.</w:t>
      </w:r>
    </w:p>
    <w:p>
      <w:pPr>
        <w:pStyle w:val="Normal"/>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Incentive Programs</w:t>
      </w:r>
    </w:p>
    <w:p>
      <w:pPr>
        <w:pStyle w:val="Normal"/>
        <w:rPr>
          <w:rFonts w:ascii="Times New Roman" w:hAnsi="Times New Roman" w:cs="Times New Roman"/>
          <w:kern w:val="0"/>
        </w:rPr>
      </w:pPr>
      <w:r>
        <w:rPr>
          <w:rFonts w:cs="Times New Roman"/>
          <w:kern w:val="0"/>
        </w:rPr>
      </w:r>
    </w:p>
    <w:p>
      <w:pPr>
        <w:pStyle w:val="Normal"/>
        <w:numPr>
          <w:ilvl w:val="0"/>
          <w:numId w:val="3"/>
        </w:numPr>
        <w:rPr>
          <w:b/>
          <w:i/>
          <w:i/>
          <w:sz w:val="24"/>
        </w:rPr>
      </w:pPr>
      <w:r>
        <w:rPr>
          <w:b/>
          <w:i/>
          <w:sz w:val="24"/>
        </w:rPr>
        <w:t>Revenue Incentive/Asset Management Mechanism</w:t>
      </w:r>
    </w:p>
    <w:p>
      <w:pPr>
        <w:pStyle w:val="Normal"/>
        <w:rPr>
          <w:b/>
          <w:i/>
          <w:i/>
          <w:sz w:val="24"/>
        </w:rPr>
      </w:pPr>
      <w:r>
        <w:rPr>
          <w:b/>
          <w:i/>
          <w:sz w:val="24"/>
        </w:rPr>
      </w:r>
    </w:p>
    <w:p>
      <w:pPr>
        <w:pStyle w:val="Normal"/>
        <w:rPr>
          <w:b/>
          <w:sz w:val="24"/>
        </w:rPr>
      </w:pPr>
      <w:r>
        <w:rPr>
          <w:b/>
          <w:sz w:val="24"/>
        </w:rPr>
      </w:r>
    </w:p>
    <w:p>
      <w:pPr>
        <w:pStyle w:val="Normal"/>
        <w:ind w:start="720" w:end="0"/>
        <w:rPr>
          <w:sz w:val="24"/>
        </w:rPr>
      </w:pPr>
      <w:r>
        <w:rPr>
          <w:sz w:val="24"/>
        </w:rPr>
        <w:t>In order to help align shipper and TransCanada’s interests and to incent TransCanada to maximize revenue to shippers, a revenue sharing/asset management mechanism will be put into place.  This incentive will provide TransCanada with a commission, in the following areas:</w:t>
      </w:r>
    </w:p>
    <w:p>
      <w:pPr>
        <w:pStyle w:val="Normal"/>
        <w:ind w:start="720" w:end="0"/>
        <w:rPr>
          <w:sz w:val="24"/>
        </w:rPr>
      </w:pPr>
      <w:r>
        <w:rPr>
          <w:sz w:val="24"/>
        </w:rPr>
      </w:r>
    </w:p>
    <w:p>
      <w:pPr>
        <w:pStyle w:val="Normal"/>
        <w:numPr>
          <w:ilvl w:val="0"/>
          <w:numId w:val="11"/>
        </w:numPr>
        <w:tabs>
          <w:tab w:val="clear" w:pos="720"/>
          <w:tab w:val="left" w:pos="1800" w:leader="none"/>
        </w:tabs>
        <w:ind w:hanging="360" w:start="1800" w:end="0"/>
        <w:rPr>
          <w:sz w:val="24"/>
        </w:rPr>
      </w:pPr>
      <w:r>
        <w:rPr>
          <w:sz w:val="24"/>
        </w:rPr>
        <w:t>IT – 3.5%</w:t>
      </w:r>
    </w:p>
    <w:p>
      <w:pPr>
        <w:pStyle w:val="Normal"/>
        <w:numPr>
          <w:ilvl w:val="0"/>
          <w:numId w:val="11"/>
        </w:numPr>
        <w:tabs>
          <w:tab w:val="clear" w:pos="720"/>
          <w:tab w:val="left" w:pos="1800" w:leader="none"/>
        </w:tabs>
        <w:ind w:hanging="360" w:start="1800" w:end="0"/>
        <w:rPr>
          <w:sz w:val="24"/>
        </w:rPr>
      </w:pPr>
      <w:r>
        <w:rPr>
          <w:sz w:val="24"/>
        </w:rPr>
        <w:t>Other</w:t>
      </w:r>
      <w:r>
        <w:rPr>
          <w:rStyle w:val="FootnoteCharacters"/>
          <w:rStyle w:val="FootnoteReference"/>
          <w:sz w:val="24"/>
        </w:rPr>
        <w:footnoteReference w:id="2"/>
      </w:r>
      <w:r>
        <w:rPr>
          <w:sz w:val="24"/>
        </w:rPr>
        <w:t xml:space="preserve"> – 7%</w:t>
      </w:r>
    </w:p>
    <w:p>
      <w:pPr>
        <w:pStyle w:val="Normal"/>
        <w:numPr>
          <w:ilvl w:val="0"/>
          <w:numId w:val="11"/>
        </w:numPr>
        <w:tabs>
          <w:tab w:val="clear" w:pos="720"/>
          <w:tab w:val="left" w:pos="1800" w:leader="none"/>
        </w:tabs>
        <w:ind w:hanging="360" w:start="1800" w:end="0"/>
        <w:rPr>
          <w:sz w:val="24"/>
        </w:rPr>
      </w:pPr>
      <w:r>
        <w:rPr>
          <w:sz w:val="24"/>
        </w:rPr>
        <w:t>STFT – 9.5%</w:t>
      </w:r>
    </w:p>
    <w:p>
      <w:pPr>
        <w:pStyle w:val="Normal"/>
        <w:numPr>
          <w:ilvl w:val="0"/>
          <w:numId w:val="11"/>
        </w:numPr>
        <w:tabs>
          <w:tab w:val="clear" w:pos="720"/>
          <w:tab w:val="left" w:pos="1800" w:leader="none"/>
        </w:tabs>
        <w:ind w:hanging="360" w:start="1800" w:end="0"/>
        <w:rPr>
          <w:sz w:val="24"/>
        </w:rPr>
      </w:pPr>
      <w:r>
        <w:rPr>
          <w:sz w:val="24"/>
        </w:rPr>
        <w:t>Net New FT – 20%</w:t>
      </w:r>
    </w:p>
    <w:p>
      <w:pPr>
        <w:pStyle w:val="Normal"/>
        <w:numPr>
          <w:ilvl w:val="0"/>
          <w:numId w:val="11"/>
        </w:numPr>
        <w:tabs>
          <w:tab w:val="clear" w:pos="720"/>
          <w:tab w:val="left" w:pos="1800" w:leader="none"/>
        </w:tabs>
        <w:ind w:hanging="360" w:start="1800" w:end="0"/>
        <w:rPr>
          <w:sz w:val="24"/>
        </w:rPr>
      </w:pPr>
      <w:r>
        <w:rPr>
          <w:sz w:val="24"/>
        </w:rPr>
        <w:t>Assignment of Assets</w:t>
      </w:r>
      <w:r>
        <w:rPr>
          <w:rStyle w:val="FootnoteCharacters"/>
          <w:rStyle w:val="FootnoteReference"/>
          <w:sz w:val="24"/>
        </w:rPr>
        <w:footnoteReference w:id="3"/>
      </w:r>
      <w:r>
        <w:rPr>
          <w:sz w:val="24"/>
        </w:rPr>
        <w:t xml:space="preserve"> – 33%</w:t>
      </w:r>
    </w:p>
    <w:p>
      <w:pPr>
        <w:pStyle w:val="Normal"/>
        <w:rPr>
          <w:sz w:val="24"/>
        </w:rPr>
      </w:pPr>
      <w:r>
        <w:rPr>
          <w:sz w:val="24"/>
        </w:rPr>
      </w:r>
    </w:p>
    <w:p>
      <w:pPr>
        <w:pStyle w:val="Normal"/>
        <w:ind w:start="720" w:end="0"/>
        <w:rPr>
          <w:sz w:val="24"/>
        </w:rPr>
      </w:pPr>
      <w:r>
        <w:rPr>
          <w:sz w:val="24"/>
        </w:rPr>
        <w:t>TransCanada’s share of revenue from the above sources will be capped at $7.5 million</w:t>
      </w:r>
    </w:p>
    <w:p>
      <w:pPr>
        <w:pStyle w:val="Normal"/>
        <w:ind w:start="720" w:end="0"/>
        <w:rPr>
          <w:sz w:val="24"/>
        </w:rPr>
      </w:pPr>
      <w:r>
        <w:rPr>
          <w:sz w:val="24"/>
        </w:rPr>
      </w:r>
    </w:p>
    <w:p>
      <w:pPr>
        <w:pStyle w:val="Normal"/>
        <w:ind w:start="720" w:end="0"/>
        <w:rPr>
          <w:sz w:val="24"/>
        </w:rPr>
      </w:pPr>
      <w:r>
        <w:rPr>
          <w:sz w:val="24"/>
        </w:rPr>
        <w:t>TransCanada commits to review the disposition of Working Gas with stakeholders prior to actual disposition.</w:t>
      </w:r>
    </w:p>
    <w:p>
      <w:pPr>
        <w:pStyle w:val="Normal"/>
        <w:ind w:start="360" w:end="0"/>
        <w:rPr>
          <w:sz w:val="24"/>
        </w:rPr>
      </w:pPr>
      <w:r>
        <w:rPr>
          <w:sz w:val="24"/>
        </w:rPr>
      </w:r>
    </w:p>
    <w:p>
      <w:pPr>
        <w:pStyle w:val="Normal"/>
        <w:ind w:start="360" w:end="0"/>
        <w:rPr>
          <w:sz w:val="24"/>
        </w:rPr>
      </w:pPr>
      <w:r>
        <w:rPr>
          <w:sz w:val="24"/>
        </w:rPr>
      </w:r>
    </w:p>
    <w:p>
      <w:pPr>
        <w:pStyle w:val="Normal"/>
        <w:numPr>
          <w:ilvl w:val="0"/>
          <w:numId w:val="3"/>
        </w:numPr>
        <w:rPr>
          <w:b/>
          <w:i/>
          <w:i/>
          <w:sz w:val="24"/>
        </w:rPr>
      </w:pPr>
      <w:r>
        <w:rPr>
          <w:b/>
          <w:i/>
          <w:sz w:val="24"/>
        </w:rPr>
        <w:t>Fuel Incentive</w:t>
      </w:r>
    </w:p>
    <w:p>
      <w:pPr>
        <w:pStyle w:val="Normal"/>
        <w:rPr>
          <w:b/>
          <w:i/>
          <w:i/>
          <w:sz w:val="24"/>
        </w:rPr>
      </w:pPr>
      <w:r>
        <w:rPr>
          <w:b/>
          <w:i/>
          <w:sz w:val="24"/>
        </w:rPr>
      </w:r>
    </w:p>
    <w:p>
      <w:pPr>
        <w:pStyle w:val="Normal"/>
        <w:ind w:start="720" w:end="0"/>
        <w:rPr>
          <w:sz w:val="24"/>
        </w:rPr>
      </w:pPr>
      <w:r>
        <w:rPr>
          <w:sz w:val="24"/>
        </w:rPr>
        <w:t>The parties agree to work towards a fuel incentive program that will provide TransCanada with an incentive to minimize total delivered cost (fuel gas and power costs for electric driven compressors) with benefits shared between TransCanada and shippers.  If agreement cannot be reached by March 31, 2001, this matter will be dropped.</w:t>
      </w:r>
    </w:p>
    <w:p>
      <w:pPr>
        <w:pStyle w:val="Normal"/>
        <w:ind w:start="720" w:end="0"/>
        <w:rPr>
          <w:sz w:val="24"/>
        </w:rPr>
      </w:pPr>
      <w:r>
        <w:rPr>
          <w:sz w:val="24"/>
        </w:rPr>
      </w:r>
    </w:p>
    <w:p>
      <w:pPr>
        <w:pStyle w:val="Normal"/>
        <w:numPr>
          <w:ilvl w:val="0"/>
          <w:numId w:val="3"/>
        </w:numPr>
        <w:rPr>
          <w:b/>
          <w:i/>
          <w:i/>
          <w:sz w:val="24"/>
        </w:rPr>
      </w:pPr>
      <w:r>
        <w:rPr>
          <w:b/>
          <w:i/>
          <w:sz w:val="24"/>
        </w:rPr>
        <w:t>Foreign Exchange Management</w:t>
      </w:r>
    </w:p>
    <w:p>
      <w:pPr>
        <w:pStyle w:val="Normal"/>
        <w:rPr>
          <w:b/>
          <w:i/>
          <w:i/>
          <w:sz w:val="24"/>
        </w:rPr>
      </w:pPr>
      <w:r>
        <w:rPr>
          <w:b/>
          <w:i/>
          <w:sz w:val="24"/>
        </w:rPr>
      </w:r>
    </w:p>
    <w:p>
      <w:pPr>
        <w:pStyle w:val="Normal"/>
        <w:ind w:start="720" w:end="0"/>
        <w:rPr>
          <w:sz w:val="24"/>
        </w:rPr>
      </w:pPr>
      <w:r>
        <w:rPr>
          <w:sz w:val="24"/>
        </w:rPr>
        <w:t>The parties agree that the existing program will be continued for the term of the settlement.</w:t>
      </w:r>
    </w:p>
    <w:p>
      <w:pPr>
        <w:pStyle w:val="Normal"/>
        <w:rPr>
          <w:sz w:val="24"/>
        </w:rPr>
      </w:pPr>
      <w:r>
        <w:rPr>
          <w:sz w:val="24"/>
        </w:rPr>
      </w:r>
    </w:p>
    <w:p>
      <w:pPr>
        <w:pStyle w:val="Normal"/>
        <w:rPr>
          <w:sz w:val="24"/>
        </w:rPr>
      </w:pPr>
      <w:r>
        <w:rPr>
          <w:sz w:val="24"/>
        </w:rPr>
      </w:r>
    </w:p>
    <w:p>
      <w:pPr>
        <w:pStyle w:val="Normal"/>
        <w:numPr>
          <w:ilvl w:val="0"/>
          <w:numId w:val="3"/>
        </w:numPr>
        <w:rPr>
          <w:b/>
          <w:sz w:val="24"/>
        </w:rPr>
      </w:pPr>
      <w:r>
        <w:rPr>
          <w:b/>
          <w:sz w:val="24"/>
        </w:rPr>
        <w:t>Interest Rate Management</w:t>
      </w:r>
    </w:p>
    <w:p>
      <w:pPr>
        <w:pStyle w:val="Normal"/>
        <w:rPr>
          <w:b/>
          <w:sz w:val="24"/>
        </w:rPr>
      </w:pPr>
      <w:r>
        <w:rPr>
          <w:b/>
          <w:sz w:val="24"/>
        </w:rPr>
      </w:r>
    </w:p>
    <w:p>
      <w:pPr>
        <w:pStyle w:val="Normal"/>
        <w:ind w:start="720" w:end="0"/>
        <w:rPr>
          <w:sz w:val="24"/>
        </w:rPr>
      </w:pPr>
      <w:r>
        <w:rPr>
          <w:sz w:val="24"/>
        </w:rPr>
        <w:t>The parties agree that the existing program will be continued for the term of the settlement.</w:t>
      </w:r>
    </w:p>
    <w:p>
      <w:pPr>
        <w:pStyle w:val="Normal"/>
        <w:rPr>
          <w:sz w:val="24"/>
        </w:rPr>
      </w:pPr>
      <w:r>
        <w:rPr>
          <w:sz w:val="24"/>
        </w:rPr>
      </w:r>
    </w:p>
    <w:p>
      <w:pPr>
        <w:pStyle w:val="Normal"/>
        <w:ind w:start="720" w:end="0"/>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Services</w:t>
      </w:r>
    </w:p>
    <w:p>
      <w:pPr>
        <w:pStyle w:val="Normal"/>
        <w:rPr>
          <w:rFonts w:ascii="Times New Roman" w:hAnsi="Times New Roman" w:cs="Times New Roman"/>
          <w:kern w:val="0"/>
        </w:rPr>
      </w:pPr>
      <w:r>
        <w:rPr>
          <w:rFonts w:cs="Times New Roman"/>
          <w:kern w:val="0"/>
        </w:rPr>
      </w:r>
    </w:p>
    <w:p>
      <w:pPr>
        <w:pStyle w:val="Normal"/>
        <w:numPr>
          <w:ilvl w:val="0"/>
          <w:numId w:val="6"/>
        </w:numPr>
        <w:rPr>
          <w:b/>
          <w:sz w:val="24"/>
        </w:rPr>
      </w:pPr>
      <w:r>
        <w:rPr>
          <w:b/>
          <w:sz w:val="24"/>
        </w:rPr>
        <w:t>Firm Service (FT)</w:t>
      </w:r>
    </w:p>
    <w:p>
      <w:pPr>
        <w:pStyle w:val="Normal"/>
        <w:ind w:start="720" w:end="0"/>
        <w:rPr>
          <w:sz w:val="24"/>
        </w:rPr>
      </w:pPr>
      <w:r>
        <w:rPr>
          <w:sz w:val="24"/>
        </w:rPr>
        <w:t>FT Service will be provided with Make-up and AOS rights as described below.</w:t>
      </w:r>
    </w:p>
    <w:p>
      <w:pPr>
        <w:pStyle w:val="Normal"/>
        <w:ind w:start="720" w:end="0"/>
        <w:rPr>
          <w:sz w:val="24"/>
        </w:rPr>
      </w:pPr>
      <w:r>
        <w:rPr>
          <w:sz w:val="24"/>
        </w:rPr>
      </w:r>
    </w:p>
    <w:p>
      <w:pPr>
        <w:pStyle w:val="Normal"/>
        <w:numPr>
          <w:ilvl w:val="0"/>
          <w:numId w:val="6"/>
        </w:numPr>
        <w:rPr>
          <w:b/>
          <w:sz w:val="24"/>
        </w:rPr>
      </w:pPr>
      <w:r>
        <w:rPr>
          <w:b/>
          <w:sz w:val="24"/>
        </w:rPr>
        <w:t>FT Make-Up</w:t>
      </w:r>
    </w:p>
    <w:p>
      <w:pPr>
        <w:pStyle w:val="BodyTextIndent"/>
        <w:ind w:start="720" w:end="0"/>
        <w:rPr/>
      </w:pPr>
      <w:r>
        <w:rPr/>
        <w:t>The Demand Charge associated with each FT Shipper’s unutilized FT Demand rights in each month will be credited towards that FT Shipper’s Interruptible Service invoice at the end of each month.  In no event will the FT Make-up credit exceed the Shipper’s Interruptible Service invoice.  Unutilized Credits will not roll-over to subsequent months.  This service will terminate on December 31, 2002.</w:t>
      </w:r>
    </w:p>
    <w:p>
      <w:pPr>
        <w:pStyle w:val="Normal"/>
        <w:ind w:start="720" w:end="0"/>
        <w:rPr>
          <w:sz w:val="24"/>
        </w:rPr>
      </w:pPr>
      <w:r>
        <w:rPr>
          <w:sz w:val="24"/>
        </w:rPr>
      </w:r>
    </w:p>
    <w:p>
      <w:pPr>
        <w:pStyle w:val="Normal"/>
        <w:numPr>
          <w:ilvl w:val="0"/>
          <w:numId w:val="6"/>
        </w:numPr>
        <w:rPr>
          <w:b/>
          <w:sz w:val="24"/>
        </w:rPr>
      </w:pPr>
      <w:r>
        <w:rPr>
          <w:b/>
          <w:sz w:val="24"/>
        </w:rPr>
        <w:t xml:space="preserve">Authorized Overrun Service (AOS) </w:t>
      </w:r>
    </w:p>
    <w:p>
      <w:pPr>
        <w:pStyle w:val="BodyTextIndent"/>
        <w:tabs>
          <w:tab w:val="clear" w:pos="720"/>
          <w:tab w:val="left" w:pos="270" w:leader="none"/>
        </w:tabs>
        <w:ind w:start="720" w:end="0"/>
        <w:rPr/>
      </w:pPr>
      <w:r>
        <w:rPr/>
        <w:t>2.5% of each FT shipper’s monthly contract demand charges will be credited to that shipper’s Interruptible Service invoice each month.   In no event will the AOS credit exceed the Shipper’s Interruptible Service invoice.  Unutilized Credits will not roll-over to subsequent months.  This service will terminate on December 31, 2002.</w:t>
      </w:r>
    </w:p>
    <w:p>
      <w:pPr>
        <w:pStyle w:val="BodyTextIndent"/>
        <w:rPr/>
      </w:pPr>
      <w:r>
        <w:rPr/>
      </w:r>
    </w:p>
    <w:p>
      <w:pPr>
        <w:pStyle w:val="Normal"/>
        <w:numPr>
          <w:ilvl w:val="0"/>
          <w:numId w:val="9"/>
        </w:numPr>
        <w:rPr>
          <w:b/>
          <w:sz w:val="24"/>
        </w:rPr>
      </w:pPr>
      <w:r>
        <w:rPr>
          <w:b/>
          <w:sz w:val="24"/>
        </w:rPr>
        <w:t>Short Term Firm Service (STFT)</w:t>
      </w:r>
    </w:p>
    <w:p>
      <w:pPr>
        <w:pStyle w:val="Normal"/>
        <w:ind w:start="720" w:end="0"/>
        <w:rPr>
          <w:sz w:val="24"/>
        </w:rPr>
      </w:pPr>
      <w:r>
        <w:rPr>
          <w:sz w:val="24"/>
        </w:rPr>
        <w:t xml:space="preserve">No change to existing STFT service offering.  STFT will remain as a biddable service with a floor price of 100% of the FT toll. </w:t>
      </w:r>
    </w:p>
    <w:p>
      <w:pPr>
        <w:pStyle w:val="Normal"/>
        <w:rPr>
          <w:sz w:val="24"/>
        </w:rPr>
      </w:pPr>
      <w:r>
        <w:rPr>
          <w:sz w:val="24"/>
        </w:rPr>
      </w:r>
    </w:p>
    <w:p>
      <w:pPr>
        <w:pStyle w:val="Normal"/>
        <w:numPr>
          <w:ilvl w:val="0"/>
          <w:numId w:val="7"/>
        </w:numPr>
        <w:rPr>
          <w:b/>
          <w:sz w:val="24"/>
        </w:rPr>
      </w:pPr>
      <w:r>
        <w:rPr>
          <w:b/>
          <w:sz w:val="24"/>
        </w:rPr>
        <w:t>Interruptible Service (IT)</w:t>
      </w:r>
    </w:p>
    <w:p>
      <w:pPr>
        <w:pStyle w:val="Normal"/>
        <w:ind w:start="720" w:end="0"/>
        <w:rPr>
          <w:sz w:val="24"/>
        </w:rPr>
      </w:pPr>
      <w:r>
        <w:rPr>
          <w:sz w:val="24"/>
        </w:rPr>
        <w:t>IT service will be biddable with a floor price equal to the greater of:</w:t>
      </w:r>
    </w:p>
    <w:p>
      <w:pPr>
        <w:pStyle w:val="Normal"/>
        <w:ind w:hanging="360" w:start="1800" w:end="0"/>
        <w:rPr>
          <w:sz w:val="24"/>
        </w:rPr>
      </w:pPr>
      <w:r>
        <w:rPr>
          <w:sz w:val="24"/>
        </w:rPr>
        <w:t>a)</w:t>
        <w:tab/>
        <w:t>80% of the 100% load factor FT toll, or</w:t>
      </w:r>
    </w:p>
    <w:p>
      <w:pPr>
        <w:pStyle w:val="Normal"/>
        <w:ind w:hanging="360" w:start="1800" w:end="0"/>
        <w:rPr>
          <w:sz w:val="24"/>
        </w:rPr>
      </w:pPr>
      <w:r>
        <w:rPr>
          <w:sz w:val="24"/>
        </w:rPr>
        <w:t>b)</w:t>
        <w:tab/>
        <w:t xml:space="preserve">proxy for incremental marginal fuel costs,  plus </w:t>
      </w:r>
    </w:p>
    <w:p>
      <w:pPr>
        <w:pStyle w:val="Normal"/>
        <w:ind w:firstLine="720" w:start="1440" w:end="0"/>
        <w:rPr>
          <w:sz w:val="24"/>
        </w:rPr>
      </w:pPr>
      <w:r>
        <w:rPr>
          <w:sz w:val="24"/>
        </w:rPr>
        <w:t>FT commodity toll, plus</w:t>
      </w:r>
    </w:p>
    <w:p>
      <w:pPr>
        <w:pStyle w:val="Normal"/>
        <w:ind w:firstLine="360" w:start="1440" w:end="0"/>
        <w:rPr>
          <w:sz w:val="24"/>
        </w:rPr>
      </w:pPr>
      <w:r>
        <w:rPr>
          <w:sz w:val="24"/>
        </w:rPr>
        <w:t xml:space="preserve"> </w:t>
      </w:r>
      <w:r>
        <w:rPr>
          <w:sz w:val="24"/>
        </w:rPr>
        <w:tab/>
        <w:t>contribution to fixed costs</w:t>
      </w:r>
    </w:p>
    <w:p>
      <w:pPr>
        <w:pStyle w:val="Normal"/>
        <w:ind w:firstLine="360" w:start="1440" w:end="0"/>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10"/>
        </w:numPr>
        <w:rPr>
          <w:b/>
          <w:sz w:val="24"/>
        </w:rPr>
      </w:pPr>
      <w:r>
        <w:rPr>
          <w:b/>
          <w:sz w:val="24"/>
        </w:rPr>
        <w:t>New Service Approval Mechanism</w:t>
      </w:r>
    </w:p>
    <w:p>
      <w:pPr>
        <w:pStyle w:val="Normal"/>
        <w:rPr>
          <w:sz w:val="24"/>
        </w:rPr>
      </w:pPr>
      <w:r>
        <w:rPr>
          <w:sz w:val="24"/>
        </w:rPr>
        <w:t>The Parties agree to an expedited process for approval of new services.  The expedited process is as follows:</w:t>
      </w:r>
    </w:p>
    <w:p>
      <w:pPr>
        <w:pStyle w:val="Normal"/>
        <w:rPr>
          <w:sz w:val="24"/>
        </w:rPr>
      </w:pPr>
      <w:r>
        <w:rPr>
          <w:sz w:val="24"/>
        </w:rPr>
      </w:r>
    </w:p>
    <w:p>
      <w:pPr>
        <w:pStyle w:val="Normal"/>
        <w:ind w:start="720" w:end="0"/>
        <w:rPr>
          <w:sz w:val="24"/>
        </w:rPr>
      </w:pPr>
      <w:r>
        <w:rPr>
          <w:sz w:val="24"/>
        </w:rPr>
        <w:t>15 working days prior to a TTF meeting, the Sponsor will provide a full proposal that will be sent to TTF membership (via fax, email, NrG bulletin) with possible notice of a vote at the meeting.  The matter will then be reviewed and discussed at the next TTF meeting.  At the Sponser’s discretion, a vote may take place at this meeting or 5 working days after this meeting.  If no Party opposes the vote with the intention of litigation, the resolution will be filed with the NEB for approval.  If the resolution is opposed with an intention of litigation, the Sponsor can choose to immediately file an application to NEB.</w:t>
      </w:r>
    </w:p>
    <w:p>
      <w:pPr>
        <w:pStyle w:val="Normal"/>
        <w:rPr>
          <w:sz w:val="24"/>
        </w:rPr>
      </w:pPr>
      <w:r>
        <w:rPr>
          <w:sz w:val="24"/>
        </w:rPr>
      </w:r>
    </w:p>
    <w:p>
      <w:pPr>
        <w:pStyle w:val="Normal"/>
        <w:rPr>
          <w:sz w:val="24"/>
        </w:rPr>
      </w:pPr>
      <w:r>
        <w:rPr>
          <w:sz w:val="24"/>
        </w:rPr>
        <w:t>The Parties agree to support changes to TTF Procedures required to implement this expedited process.</w:t>
      </w:r>
    </w:p>
    <w:p>
      <w:pPr>
        <w:pStyle w:val="Normal"/>
        <w:ind w:start="360" w:end="0"/>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Expansion/Turnback</w:t>
      </w:r>
    </w:p>
    <w:p>
      <w:pPr>
        <w:pStyle w:val="Normal"/>
        <w:rPr>
          <w:rFonts w:ascii="Times New Roman" w:hAnsi="Times New Roman" w:cs="Times New Roman"/>
          <w:kern w:val="0"/>
        </w:rPr>
      </w:pPr>
      <w:r>
        <w:rPr>
          <w:rFonts w:cs="Times New Roman"/>
          <w:kern w:val="0"/>
        </w:rPr>
      </w:r>
    </w:p>
    <w:p>
      <w:pPr>
        <w:pStyle w:val="Normal"/>
        <w:rPr>
          <w:sz w:val="24"/>
        </w:rPr>
      </w:pPr>
      <w:r>
        <w:rPr>
          <w:sz w:val="24"/>
        </w:rPr>
        <w:t>The Parties agree that TransCanada will initiate a formal turnback process prior to seeking regulatory approal of major system expansions.  Such turnback process will have the following characteristics:</w:t>
      </w:r>
    </w:p>
    <w:p>
      <w:pPr>
        <w:pStyle w:val="Normal"/>
        <w:rPr>
          <w:sz w:val="24"/>
        </w:rPr>
      </w:pPr>
      <w:r>
        <w:rPr>
          <w:sz w:val="24"/>
        </w:rPr>
      </w:r>
    </w:p>
    <w:p>
      <w:pPr>
        <w:pStyle w:val="Normal"/>
        <w:ind w:hanging="450" w:start="1170" w:end="0"/>
        <w:rPr>
          <w:sz w:val="24"/>
        </w:rPr>
      </w:pPr>
      <w:r>
        <w:rPr>
          <w:sz w:val="24"/>
        </w:rPr>
        <w:t xml:space="preserve">1.  </w:t>
        <w:tab/>
        <w:t>TransCanada will post a Request for Proposals on its electronic bulletin board</w:t>
      </w:r>
    </w:p>
    <w:p>
      <w:pPr>
        <w:pStyle w:val="Normal"/>
        <w:ind w:hanging="450" w:start="1170" w:end="0"/>
        <w:rPr>
          <w:sz w:val="24"/>
        </w:rPr>
      </w:pPr>
      <w:r>
        <w:rPr>
          <w:sz w:val="24"/>
        </w:rPr>
      </w:r>
    </w:p>
    <w:p>
      <w:pPr>
        <w:pStyle w:val="Normal"/>
        <w:ind w:hanging="450" w:start="1170" w:end="0"/>
        <w:rPr>
          <w:sz w:val="24"/>
        </w:rPr>
      </w:pPr>
      <w:r>
        <w:rPr>
          <w:sz w:val="24"/>
        </w:rPr>
        <w:t xml:space="preserve">2.  </w:t>
        <w:tab/>
        <w:t>Existing Firm customers along the Path(s) being expanded may offer to turnback all or a portion of their Firm contracts at the toll or at a premium or discount to the toll.</w:t>
      </w:r>
    </w:p>
    <w:p>
      <w:pPr>
        <w:pStyle w:val="Normal"/>
        <w:ind w:hanging="450" w:start="1170" w:end="0"/>
        <w:rPr>
          <w:sz w:val="24"/>
        </w:rPr>
      </w:pPr>
      <w:r>
        <w:rPr>
          <w:sz w:val="24"/>
        </w:rPr>
      </w:r>
    </w:p>
    <w:p>
      <w:pPr>
        <w:pStyle w:val="Normal"/>
        <w:ind w:hanging="450" w:start="1170" w:end="0"/>
        <w:rPr>
          <w:sz w:val="24"/>
        </w:rPr>
      </w:pPr>
      <w:r>
        <w:rPr>
          <w:sz w:val="24"/>
        </w:rPr>
        <w:t xml:space="preserve">3. </w:t>
        <w:tab/>
        <w:t>Offers may be for permanent or temporary turnback.</w:t>
      </w:r>
    </w:p>
    <w:p>
      <w:pPr>
        <w:pStyle w:val="Normal"/>
        <w:ind w:hanging="450" w:start="1170" w:end="0"/>
        <w:rPr>
          <w:sz w:val="24"/>
        </w:rPr>
      </w:pPr>
      <w:r>
        <w:rPr>
          <w:sz w:val="24"/>
        </w:rPr>
      </w:r>
    </w:p>
    <w:p>
      <w:pPr>
        <w:pStyle w:val="Normal"/>
        <w:ind w:hanging="450" w:start="1170" w:end="0"/>
        <w:rPr>
          <w:sz w:val="24"/>
        </w:rPr>
      </w:pPr>
      <w:r>
        <w:rPr>
          <w:sz w:val="24"/>
        </w:rPr>
        <w:t xml:space="preserve">4.  </w:t>
        <w:tab/>
        <w:t xml:space="preserve">TransCanada will be under no obligation to accept any offer where the NPV bid price is greater than or equal to a facility construction option.  </w:t>
      </w:r>
    </w:p>
    <w:p>
      <w:pPr>
        <w:pStyle w:val="Normal"/>
        <w:ind w:hanging="450" w:start="1170" w:end="0"/>
        <w:rPr>
          <w:sz w:val="24"/>
        </w:rPr>
      </w:pPr>
      <w:r>
        <w:rPr>
          <w:sz w:val="24"/>
        </w:rPr>
      </w:r>
    </w:p>
    <w:p>
      <w:pPr>
        <w:pStyle w:val="Normal"/>
        <w:ind w:hanging="450" w:start="1170" w:end="0"/>
        <w:rPr>
          <w:sz w:val="24"/>
        </w:rPr>
      </w:pPr>
      <w:r>
        <w:rPr>
          <w:sz w:val="24"/>
        </w:rPr>
        <w:t xml:space="preserve">5.  </w:t>
        <w:tab/>
        <w:t>TransCanada will be under no obligation to accept any turnback offers where the bid price is in excess of the FT toll.</w:t>
      </w:r>
    </w:p>
    <w:p>
      <w:pPr>
        <w:pStyle w:val="Normal"/>
        <w:ind w:hanging="450" w:start="1170" w:end="0"/>
        <w:rPr>
          <w:sz w:val="24"/>
        </w:rPr>
      </w:pPr>
      <w:r>
        <w:rPr>
          <w:sz w:val="24"/>
        </w:rPr>
      </w:r>
    </w:p>
    <w:p>
      <w:pPr>
        <w:pStyle w:val="Normal"/>
        <w:ind w:hanging="450" w:start="1170" w:end="0"/>
        <w:rPr>
          <w:sz w:val="24"/>
        </w:rPr>
      </w:pPr>
      <w:r>
        <w:rPr>
          <w:sz w:val="24"/>
        </w:rPr>
        <w:t xml:space="preserve">6.  </w:t>
        <w:tab/>
        <w:t>If turnbacks are accepted, they will be accepted on the basis of lowest Total Cost to the system.   Determination of Total Cost will consider the NPV of foregone revenue and bid price offer.</w:t>
      </w:r>
    </w:p>
    <w:p>
      <w:pPr>
        <w:pStyle w:val="Normal"/>
        <w:ind w:hanging="450" w:start="1170" w:end="0"/>
        <w:rPr>
          <w:sz w:val="24"/>
        </w:rPr>
      </w:pPr>
      <w:r>
        <w:rPr>
          <w:sz w:val="24"/>
        </w:rPr>
        <w:tab/>
      </w:r>
    </w:p>
    <w:p>
      <w:pPr>
        <w:pStyle w:val="Normal"/>
        <w:ind w:hanging="450" w:start="1170" w:end="0"/>
        <w:rPr>
          <w:sz w:val="24"/>
        </w:rPr>
      </w:pPr>
      <w:r>
        <w:rPr>
          <w:sz w:val="24"/>
        </w:rPr>
        <w:t xml:space="preserve">7.  </w:t>
        <w:tab/>
        <w:t>All turnback costs and  revenues will be flowed through to the revenue requirement.  Changes in billing allocation units due to turnbacks will be reflected in the determination of firm transportation tolls.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Reporting</w:t>
      </w:r>
    </w:p>
    <w:p>
      <w:pPr>
        <w:pStyle w:val="Normal"/>
        <w:rPr>
          <w:rFonts w:ascii="Times New Roman" w:hAnsi="Times New Roman" w:cs="Times New Roman"/>
          <w:kern w:val="0"/>
        </w:rPr>
      </w:pPr>
      <w:r>
        <w:rPr>
          <w:rFonts w:cs="Times New Roman"/>
          <w:kern w:val="0"/>
        </w:rPr>
      </w:r>
    </w:p>
    <w:p>
      <w:pPr>
        <w:pStyle w:val="Normal"/>
        <w:rPr>
          <w:sz w:val="24"/>
        </w:rPr>
      </w:pPr>
      <w:r>
        <w:rPr>
          <w:sz w:val="24"/>
        </w:rPr>
        <w:t>TransCanada will provide an annual report consistent with the terms of this settlement.  The information should be in a style of reporting that addresses the following:</w:t>
      </w:r>
    </w:p>
    <w:p>
      <w:pPr>
        <w:pStyle w:val="Normal"/>
        <w:rPr>
          <w:sz w:val="24"/>
        </w:rPr>
      </w:pPr>
      <w:r>
        <w:rPr>
          <w:sz w:val="24"/>
        </w:rPr>
      </w:r>
    </w:p>
    <w:p>
      <w:pPr>
        <w:pStyle w:val="Normal"/>
        <w:numPr>
          <w:ilvl w:val="0"/>
          <w:numId w:val="4"/>
        </w:numPr>
        <w:tabs>
          <w:tab w:val="clear" w:pos="720"/>
          <w:tab w:val="left" w:pos="1080" w:leader="none"/>
        </w:tabs>
        <w:ind w:hanging="360" w:start="1080" w:end="0"/>
        <w:rPr>
          <w:sz w:val="24"/>
        </w:rPr>
      </w:pPr>
      <w:r>
        <w:rPr>
          <w:sz w:val="24"/>
        </w:rPr>
        <w:t xml:space="preserve">revenue requirement, </w:t>
      </w:r>
    </w:p>
    <w:p>
      <w:pPr>
        <w:pStyle w:val="Normal"/>
        <w:numPr>
          <w:ilvl w:val="0"/>
          <w:numId w:val="8"/>
        </w:numPr>
        <w:tabs>
          <w:tab w:val="clear" w:pos="720"/>
          <w:tab w:val="left" w:pos="1080" w:leader="none"/>
        </w:tabs>
        <w:ind w:hanging="360" w:start="1080" w:end="0"/>
        <w:rPr>
          <w:sz w:val="24"/>
        </w:rPr>
      </w:pPr>
      <w:r>
        <w:rPr>
          <w:sz w:val="24"/>
        </w:rPr>
        <w:t xml:space="preserve">weighted average rate base, </w:t>
      </w:r>
    </w:p>
    <w:p>
      <w:pPr>
        <w:pStyle w:val="Normal"/>
        <w:numPr>
          <w:ilvl w:val="0"/>
          <w:numId w:val="8"/>
        </w:numPr>
        <w:tabs>
          <w:tab w:val="clear" w:pos="720"/>
          <w:tab w:val="left" w:pos="1080" w:leader="none"/>
        </w:tabs>
        <w:ind w:hanging="360" w:start="1080" w:end="0"/>
        <w:rPr>
          <w:sz w:val="24"/>
        </w:rPr>
      </w:pPr>
      <w:r>
        <w:rPr>
          <w:sz w:val="24"/>
        </w:rPr>
        <w:t xml:space="preserve">deferral accounts, </w:t>
      </w:r>
    </w:p>
    <w:p>
      <w:pPr>
        <w:pStyle w:val="Normal"/>
        <w:numPr>
          <w:ilvl w:val="0"/>
          <w:numId w:val="8"/>
        </w:numPr>
        <w:tabs>
          <w:tab w:val="clear" w:pos="720"/>
          <w:tab w:val="left" w:pos="1080" w:leader="none"/>
        </w:tabs>
        <w:ind w:hanging="360" w:start="1080" w:end="0"/>
        <w:rPr>
          <w:sz w:val="24"/>
        </w:rPr>
      </w:pPr>
      <w:r>
        <w:rPr>
          <w:sz w:val="24"/>
        </w:rPr>
        <w:t xml:space="preserve">foreign exchange management program, </w:t>
      </w:r>
    </w:p>
    <w:p>
      <w:pPr>
        <w:pStyle w:val="Normal"/>
        <w:numPr>
          <w:ilvl w:val="0"/>
          <w:numId w:val="8"/>
        </w:numPr>
        <w:tabs>
          <w:tab w:val="clear" w:pos="720"/>
          <w:tab w:val="left" w:pos="1080" w:leader="none"/>
        </w:tabs>
        <w:ind w:hanging="360" w:start="1080" w:end="0"/>
        <w:rPr>
          <w:sz w:val="24"/>
        </w:rPr>
      </w:pPr>
      <w:r>
        <w:rPr>
          <w:sz w:val="24"/>
        </w:rPr>
        <w:t xml:space="preserve">interest rate management program, </w:t>
      </w:r>
    </w:p>
    <w:p>
      <w:pPr>
        <w:pStyle w:val="Normal"/>
        <w:numPr>
          <w:ilvl w:val="0"/>
          <w:numId w:val="8"/>
        </w:numPr>
        <w:tabs>
          <w:tab w:val="clear" w:pos="720"/>
          <w:tab w:val="left" w:pos="1080" w:leader="none"/>
        </w:tabs>
        <w:ind w:hanging="360" w:start="1080" w:end="0"/>
        <w:rPr>
          <w:sz w:val="24"/>
        </w:rPr>
      </w:pPr>
      <w:r>
        <w:rPr>
          <w:sz w:val="24"/>
        </w:rPr>
        <w:t xml:space="preserve">fuel incentive mechanism, </w:t>
      </w:r>
    </w:p>
    <w:p>
      <w:pPr>
        <w:pStyle w:val="Normal"/>
        <w:numPr>
          <w:ilvl w:val="0"/>
          <w:numId w:val="8"/>
        </w:numPr>
        <w:tabs>
          <w:tab w:val="clear" w:pos="720"/>
          <w:tab w:val="left" w:pos="1080" w:leader="none"/>
        </w:tabs>
        <w:ind w:hanging="360" w:start="1080" w:end="0"/>
        <w:rPr>
          <w:sz w:val="24"/>
        </w:rPr>
      </w:pPr>
      <w:r>
        <w:rPr>
          <w:sz w:val="24"/>
        </w:rPr>
        <w:t xml:space="preserve">inventory adjustment program, </w:t>
      </w:r>
    </w:p>
    <w:p>
      <w:pPr>
        <w:pStyle w:val="Normal"/>
        <w:numPr>
          <w:ilvl w:val="0"/>
          <w:numId w:val="8"/>
        </w:numPr>
        <w:tabs>
          <w:tab w:val="clear" w:pos="720"/>
          <w:tab w:val="left" w:pos="1080" w:leader="none"/>
        </w:tabs>
        <w:ind w:hanging="360" w:start="1080" w:end="0"/>
        <w:rPr>
          <w:sz w:val="24"/>
        </w:rPr>
      </w:pPr>
      <w:r>
        <w:rPr>
          <w:sz w:val="24"/>
        </w:rPr>
        <w:t xml:space="preserve">severance costs, </w:t>
      </w:r>
    </w:p>
    <w:p>
      <w:pPr>
        <w:pStyle w:val="Normal"/>
        <w:numPr>
          <w:ilvl w:val="0"/>
          <w:numId w:val="8"/>
        </w:numPr>
        <w:tabs>
          <w:tab w:val="clear" w:pos="720"/>
          <w:tab w:val="left" w:pos="1080" w:leader="none"/>
        </w:tabs>
        <w:ind w:hanging="360" w:start="1080" w:end="0"/>
        <w:rPr>
          <w:sz w:val="24"/>
        </w:rPr>
      </w:pPr>
      <w:r>
        <w:rPr>
          <w:sz w:val="24"/>
        </w:rPr>
        <w:t xml:space="preserve">throughput volume summary, </w:t>
      </w:r>
    </w:p>
    <w:p>
      <w:pPr>
        <w:pStyle w:val="Normal"/>
        <w:numPr>
          <w:ilvl w:val="0"/>
          <w:numId w:val="8"/>
        </w:numPr>
        <w:tabs>
          <w:tab w:val="clear" w:pos="720"/>
          <w:tab w:val="left" w:pos="1080" w:leader="none"/>
        </w:tabs>
        <w:ind w:hanging="360" w:start="1080" w:end="0"/>
        <w:rPr>
          <w:sz w:val="24"/>
        </w:rPr>
      </w:pPr>
      <w:r>
        <w:rPr>
          <w:sz w:val="24"/>
        </w:rPr>
        <w:t>service &amp; asset revenue incentive summary.</w:t>
      </w:r>
    </w:p>
    <w:p>
      <w:pPr>
        <w:pStyle w:val="Normal"/>
        <w:rPr>
          <w:sz w:val="24"/>
        </w:rPr>
      </w:pPr>
      <w:r>
        <w:rPr>
          <w:sz w:val="24"/>
        </w:rPr>
      </w:r>
    </w:p>
    <w:p>
      <w:pPr>
        <w:pStyle w:val="Normal"/>
        <w:rPr>
          <w:sz w:val="24"/>
        </w:rPr>
      </w:pPr>
      <w:r>
        <w:rPr>
          <w:sz w:val="24"/>
        </w:rPr>
        <w:t xml:space="preserve">The current form of the NEB Quarterly Surveillance reports shall be amended to reflect this settlement (to be discussed).  An audit will be conducted following the expiration of the agreement in order to determine compliance by TransCanada with the terms of the settlement. </w:t>
      </w:r>
    </w:p>
    <w:p>
      <w:pPr>
        <w:pStyle w:val="Normal"/>
        <w:rPr>
          <w:sz w:val="24"/>
        </w:rPr>
      </w:pPr>
      <w:r>
        <w:rPr>
          <w:sz w:val="24"/>
        </w:rPr>
      </w:r>
    </w:p>
    <w:p>
      <w:pPr>
        <w:pStyle w:val="Normal"/>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Future Business Model</w:t>
      </w:r>
    </w:p>
    <w:p>
      <w:pPr>
        <w:pStyle w:val="Normal"/>
        <w:rPr>
          <w:rFonts w:ascii="Times New Roman" w:hAnsi="Times New Roman" w:cs="Times New Roman"/>
          <w:kern w:val="0"/>
        </w:rPr>
      </w:pPr>
      <w:r>
        <w:rPr>
          <w:rFonts w:cs="Times New Roman"/>
          <w:kern w:val="0"/>
        </w:rPr>
      </w:r>
    </w:p>
    <w:p>
      <w:pPr>
        <w:pStyle w:val="Normal"/>
        <w:widowControl w:val="false"/>
        <w:jc w:val="both"/>
        <w:rPr>
          <w:sz w:val="24"/>
        </w:rPr>
      </w:pPr>
      <w:r>
        <w:rPr>
          <w:sz w:val="24"/>
        </w:rPr>
        <w:t>The parties acknowledge that a competitive pipeline system is in the interest of all stakeholders and will enable TransCanada to meet its own and its Customers needs, supporting the long term viability of the TCPL system.  TCPL undertakes to present to the stakeholders before the end of August 2001, a specific business and regulatory model for the future that will allow it to compete effectively for market demand and gas supplies.  It is agreed that discussion with respect to any new model, including a code of conduct, will be initiated on or before September 17, 2001 and completed by February 28, 2002.</w:t>
      </w:r>
    </w:p>
    <w:sectPr>
      <w:headerReference w:type="default" r:id="rId2"/>
      <w:footerReference w:type="default" r:id="rId3"/>
      <w:footnotePr>
        <w:numFmt w:val="decimal"/>
      </w:footnotePr>
      <w:type w:val="nextPage"/>
      <w:pgSz w:w="12240" w:h="15840"/>
      <w:pgMar w:left="1368" w:right="1368" w:gutter="0" w:header="720" w:top="144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February 9, 2001</w:t>
      <w:tab/>
    </w: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5</w:t>
    </w:r>
    <w:r>
      <w:rPr>
        <w:lang w:eastAsia="en-US"/>
      </w:rPr>
      <w:fldChar w:fldCharType="end"/>
    </w:r>
  </w:p>
  <w:p>
    <w:pPr>
      <w:pStyle w:val="Footer"/>
      <w:rPr>
        <w:rStyle w:val="PageNumb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Includes Diversions, IT Backhaul, PALS, MHPS, STS Overrun, Balancing Fees and revenue from any new services</w:t>
      </w:r>
    </w:p>
  </w:footnote>
  <w:footnote w:id="3">
    <w:p>
      <w:pPr>
        <w:pStyle w:val="FootnoteText"/>
        <w:rPr/>
      </w:pPr>
      <w:r>
        <w:rPr>
          <w:rStyle w:val="FootnoteCharacters"/>
        </w:rPr>
        <w:footnoteRef/>
      </w:r>
      <w:r>
        <w:rPr/>
        <w:t xml:space="preserve">  </w:t>
      </w:r>
      <w:r>
        <w:rPr/>
        <w:t>Includes TBO and Storage Assets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Privileged and Confidential – For Settlement Purposes Only</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296"/>
      <w:numFmt w:val="bullet"/>
      <w:lvlText w:val="-"/>
      <w:lvlJc w:val="start"/>
      <w:pPr>
        <w:tabs>
          <w:tab w:val="num" w:pos="360"/>
        </w:tabs>
        <w:ind w:start="360" w:hanging="360"/>
      </w:pPr>
      <w:rPr>
        <w:rFonts w:ascii="Times New Roman" w:hAnsi="Times New Roman" w:cs="Times New Roman" w:hint="default"/>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296"/>
      <w:numFmt w:val="bullet"/>
      <w:lvlText w:val="-"/>
      <w:lvlJc w:val="start"/>
      <w:pPr>
        <w:tabs>
          <w:tab w:val="num" w:pos="360"/>
        </w:tabs>
        <w:ind w:start="360" w:hanging="360"/>
      </w:pPr>
      <w:rPr>
        <w:rFonts w:ascii="Times New Roman" w:hAnsi="Times New Roman" w:cs="Times New Roman" w:hint="default"/>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rFonts w:ascii="HELVETICA" w:hAnsi="HELVETICA" w:cs="HELVETICA"/>
      <w:b/>
      <w:kern w:val="2"/>
      <w:sz w:val="28"/>
    </w:rPr>
  </w:style>
  <w:style w:type="paragraph" w:styleId="Heading2">
    <w:name w:val="heading 2"/>
    <w:basedOn w:val="Normal"/>
    <w:next w:val="Normal"/>
    <w:qFormat/>
    <w:pPr>
      <w:keepNext w:val="true"/>
      <w:numPr>
        <w:ilvl w:val="1"/>
        <w:numId w:val="1"/>
      </w:numPr>
      <w:spacing w:before="0" w:after="240"/>
      <w:outlineLvl w:val="1"/>
    </w:pPr>
    <w:rPr>
      <w:rFonts w:ascii="HELVETICA" w:hAnsi="HELVETICA" w:cs="HELVETICA"/>
      <w:b/>
    </w:rPr>
  </w:style>
  <w:style w:type="paragraph" w:styleId="Heading3">
    <w:name w:val="heading 3"/>
    <w:basedOn w:val="Normal"/>
    <w:next w:val="Normal"/>
    <w:qFormat/>
    <w:pPr>
      <w:keepNext w:val="true"/>
      <w:numPr>
        <w:ilvl w:val="2"/>
        <w:numId w:val="1"/>
      </w:numPr>
      <w:spacing w:before="0" w:after="240"/>
      <w:outlineLvl w:val="2"/>
    </w:pPr>
    <w:rPr>
      <w:rFonts w:ascii="Times New Roman" w:hAnsi="Times New Roman" w:cs="Times New Roman"/>
      <w:b/>
    </w:rPr>
  </w:style>
  <w:style w:type="paragraph" w:styleId="Heading4">
    <w:name w:val="heading 4"/>
    <w:basedOn w:val="Normal"/>
    <w:next w:val="Normal"/>
    <w:qFormat/>
    <w:pPr>
      <w:keepNext w:val="true"/>
      <w:numPr>
        <w:ilvl w:val="3"/>
        <w:numId w:val="1"/>
      </w:numPr>
      <w:ind w:hanging="0" w:start="360" w:end="0"/>
      <w:outlineLvl w:val="3"/>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Times New Roman" w:hAnsi="Times New Roman" w:cs="Times New Roman"/>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Times New Roman" w:hAnsi="Times New Roman" w:cs="Times New Roman"/>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color w:val="auto"/>
    </w:rPr>
  </w:style>
  <w:style w:type="character" w:styleId="WW8Num53z0">
    <w:name w:val="WW8Num53z0"/>
    <w:qFormat/>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rPr>
  </w:style>
  <w:style w:type="character" w:styleId="WW8Num57z0">
    <w:name w:val="WW8Num57z0"/>
    <w:qFormat/>
    <w:rPr>
      <w:rFonts w:ascii="Symbol" w:hAnsi="Symbol" w:cs="Symbol"/>
      <w:color w:val="auto"/>
    </w:rPr>
  </w:style>
  <w:style w:type="character" w:styleId="WW8Num58z0">
    <w:name w:val="WW8Num58z0"/>
    <w:qFormat/>
    <w:rPr>
      <w:rFonts w:ascii="Symbol" w:hAnsi="Symbol" w:cs="Symbol"/>
      <w:color w:val="auto"/>
    </w:rPr>
  </w:style>
  <w:style w:type="character" w:styleId="WW8Num59z0">
    <w:name w:val="WW8Num59z0"/>
    <w:qFormat/>
    <w:rPr/>
  </w:style>
  <w:style w:type="character" w:styleId="WW8Num60z0">
    <w:name w:val="WW8Num60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rPr>
  </w:style>
  <w:style w:type="character" w:styleId="WW8Num68z0">
    <w:name w:val="WW8Num68z0"/>
    <w:qFormat/>
    <w:rPr>
      <w:rFonts w:ascii="Symbol" w:hAnsi="Symbol" w:cs="Symbol"/>
      <w:color w:val="auto"/>
    </w:rPr>
  </w:style>
  <w:style w:type="character" w:styleId="WW8Num69z0">
    <w:name w:val="WW8Num69z0"/>
    <w:qFormat/>
    <w:rPr>
      <w:rFonts w:ascii="Symbol" w:hAnsi="Symbol" w:cs="Symbol"/>
      <w:color w:val="auto"/>
    </w:rPr>
  </w:style>
  <w:style w:type="character" w:styleId="WW8Num70z0">
    <w:name w:val="WW8Num70z0"/>
    <w:qFormat/>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color w:val="auto"/>
    </w:rPr>
  </w:style>
  <w:style w:type="character" w:styleId="WW8Num74z0">
    <w:name w:val="WW8Num74z0"/>
    <w:qFormat/>
    <w:rPr>
      <w:rFonts w:ascii="Symbol" w:hAnsi="Symbol" w:cs="Symbol"/>
    </w:rPr>
  </w:style>
  <w:style w:type="character" w:styleId="WW8Num75z0">
    <w:name w:val="WW8Num75z0"/>
    <w:qFormat/>
    <w:rPr>
      <w:rFonts w:ascii="Times New Roman" w:hAnsi="Times New Roman" w:cs="Times New Roman"/>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right" w:pos="9504" w:leader="none"/>
      </w:tabs>
    </w:pPr>
    <w:rPr>
      <w:sz w:val="20"/>
    </w:rPr>
  </w:style>
  <w:style w:type="paragraph" w:styleId="Times36ptright">
    <w:name w:val="Times 36pt right"/>
    <w:basedOn w:val="Heading2"/>
    <w:next w:val="Normal"/>
    <w:qFormat/>
    <w:pPr>
      <w:numPr>
        <w:ilvl w:val="0"/>
        <w:numId w:val="0"/>
      </w:numPr>
      <w:jc w:val="end"/>
      <w:outlineLvl w:val="9"/>
    </w:pPr>
    <w:rPr>
      <w:rFonts w:ascii="TIMES" w:hAnsi="TIMES" w:cs="TIMES"/>
      <w:sz w:val="72"/>
    </w:rPr>
  </w:style>
  <w:style w:type="paragraph" w:styleId="Footer">
    <w:name w:val="footer"/>
    <w:basedOn w:val="Normal"/>
    <w:pPr>
      <w:tabs>
        <w:tab w:val="clear" w:pos="720"/>
        <w:tab w:val="right" w:pos="9504" w:leader="none"/>
      </w:tabs>
    </w:pPr>
    <w:rPr>
      <w:sz w:val="20"/>
    </w:rPr>
  </w:style>
  <w:style w:type="paragraph" w:styleId="Subtitle">
    <w:name w:val="Subtitle"/>
    <w:basedOn w:val="Normal"/>
    <w:next w:val="BodyText"/>
    <w:qFormat/>
    <w:pPr>
      <w:jc w:val="center"/>
    </w:pPr>
    <w:rPr>
      <w:b/>
      <w:sz w:val="28"/>
    </w:rPr>
  </w:style>
  <w:style w:type="paragraph" w:styleId="BodyTextIndent">
    <w:name w:val="Body Text Indent"/>
    <w:basedOn w:val="Normal"/>
    <w:pPr>
      <w:ind w:hanging="0" w:start="360" w:end="0"/>
    </w:pPr>
    <w:rPr>
      <w:sz w:val="24"/>
    </w:rPr>
  </w:style>
  <w:style w:type="paragraph" w:styleId="BodyText2">
    <w:name w:val="Body Text 2"/>
    <w:basedOn w:val="Normal"/>
    <w:qFormat/>
    <w:pPr/>
    <w:rPr>
      <w:b/>
      <w:i/>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2001-02-08T23:44:00Z</dcterms:created>
  <dc:creator>Greg Geisbrecht</dc:creator>
  <dc:description/>
  <dc:language>en-CA</dc:language>
  <cp:lastModifiedBy>Jim_Bartlett</cp:lastModifiedBy>
  <cp:lastPrinted>2001-02-12T14:35:00Z</cp:lastPrinted>
  <dcterms:modified xsi:type="dcterms:W3CDTF">2001-02-12T19:50:00Z</dcterms:modified>
  <cp:revision>31</cp:revision>
  <dc:subject/>
  <dc:title>NGTL 2001-2002 TOLLS</dc:title>
</cp:coreProperties>
</file>