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Statement of Organization</w:t>
      </w:r>
    </w:p>
    <w:p>
      <w:pPr>
        <w:pStyle w:val="Normal"/>
        <w:jc w:val="center"/>
        <w:rPr>
          <w:b/>
          <w:bCs/>
        </w:rPr>
      </w:pPr>
      <w:r>
        <w:rPr>
          <w:b/>
          <w:bCs/>
        </w:rPr>
        <w:t>EEI Master Power Contract  Working Group</w:t>
      </w:r>
    </w:p>
    <w:p>
      <w:pPr>
        <w:pStyle w:val="Normal"/>
        <w:jc w:val="center"/>
        <w:rPr>
          <w:b/>
          <w:bCs/>
        </w:rPr>
      </w:pPr>
      <w:r>
        <w:rPr>
          <w:b/>
          <w:bCs/>
        </w:rPr>
      </w:r>
    </w:p>
    <w:p>
      <w:pPr>
        <w:pStyle w:val="Normal"/>
        <w:rPr/>
      </w:pPr>
      <w:r>
        <w:rPr>
          <w:b/>
          <w:bCs/>
        </w:rPr>
        <w:t xml:space="preserve">Purpose.  </w:t>
        <w:tab/>
      </w:r>
      <w:r>
        <w:rPr/>
        <w:t>The purpose of the EEI Master Power Contract Working Group is to:</w:t>
      </w:r>
    </w:p>
    <w:p>
      <w:pPr>
        <w:pStyle w:val="Normal"/>
        <w:rPr/>
      </w:pPr>
      <w:r>
        <w:rPr/>
      </w:r>
    </w:p>
    <w:p>
      <w:pPr>
        <w:pStyle w:val="Normal"/>
        <w:numPr>
          <w:ilvl w:val="0"/>
          <w:numId w:val="1"/>
        </w:numPr>
        <w:rPr/>
      </w:pPr>
      <w:r>
        <w:rPr/>
        <w:t>establish a standard legal document for the purchase, trading and resale of electricity in physical transactions,</w:t>
      </w:r>
    </w:p>
    <w:p>
      <w:pPr>
        <w:pStyle w:val="Normal"/>
        <w:numPr>
          <w:ilvl w:val="0"/>
          <w:numId w:val="1"/>
        </w:numPr>
        <w:rPr/>
      </w:pPr>
      <w:r>
        <w:rPr/>
        <w:t xml:space="preserve">facilitate the development of the EEI Contract by all sectors of participants in the North American electric industry, </w:t>
      </w:r>
    </w:p>
    <w:p>
      <w:pPr>
        <w:pStyle w:val="Normal"/>
        <w:numPr>
          <w:ilvl w:val="0"/>
          <w:numId w:val="1"/>
        </w:numPr>
        <w:rPr/>
      </w:pPr>
      <w:r>
        <w:rPr/>
        <w:t>promote greater understanding of the EEI Contract provisions in order to facilitate the use of that document throughout North America, and</w:t>
      </w:r>
    </w:p>
    <w:p>
      <w:pPr>
        <w:pStyle w:val="Normal"/>
        <w:numPr>
          <w:ilvl w:val="0"/>
          <w:numId w:val="1"/>
        </w:numPr>
        <w:rPr/>
      </w:pPr>
      <w:r>
        <w:rPr/>
        <w:t xml:space="preserve">help anticipate, identify and resolve issues requiring modifications or additions to the EEI Contract as market conditions evolve. </w:t>
      </w:r>
    </w:p>
    <w:p>
      <w:pPr>
        <w:pStyle w:val="Normal"/>
        <w:rPr/>
      </w:pPr>
      <w:r>
        <w:rPr/>
      </w:r>
    </w:p>
    <w:p>
      <w:pPr>
        <w:pStyle w:val="Normal"/>
        <w:rPr/>
      </w:pPr>
      <w:r>
        <w:rPr>
          <w:b/>
          <w:bCs/>
        </w:rPr>
        <w:t xml:space="preserve">Participation. </w:t>
        <w:tab/>
      </w:r>
      <w:r>
        <w:rPr/>
        <w:t xml:space="preserve">The EEI Contract Working Group is open to any public or private electric company, power marketer, merchant generator, electricity trader or similar business organization that directly or through an affiliate, conducts electricity sales and purchases.  It is also open to any transmission owner or operator or similar entity that facilitates electricity sales, but does not engage in such sales themselves.  Any person who represents eligible entities, whether in a professional capacity or as a trade association, may also participate in the Working Group. All participants must help defray the operating expenses of the Working Group. </w:t>
      </w:r>
    </w:p>
    <w:p>
      <w:pPr>
        <w:pStyle w:val="Normal"/>
        <w:rPr/>
      </w:pPr>
      <w:r>
        <w:rPr/>
      </w:r>
    </w:p>
    <w:p>
      <w:pPr>
        <w:pStyle w:val="Normal"/>
        <w:rPr/>
      </w:pPr>
      <w:r>
        <w:rPr>
          <w:b/>
          <w:bCs/>
        </w:rPr>
        <w:t xml:space="preserve">Operational Structure.  </w:t>
      </w:r>
      <w:r>
        <w:rPr/>
        <w:tab/>
        <w:t xml:space="preserve">The EEI Contract Working Group is an informal organization which seeks to maintain the EEI Master Power Contract as a useful standard business tool. The Working Group is managed by an Executive Committee which delegates responsibilities to various operating Committees established by the Executive Committee.  </w:t>
      </w:r>
    </w:p>
    <w:p>
      <w:pPr>
        <w:pStyle w:val="Normal"/>
        <w:rPr/>
      </w:pPr>
      <w:r>
        <w:rPr/>
      </w:r>
    </w:p>
    <w:p>
      <w:pPr>
        <w:pStyle w:val="Normal"/>
        <w:rPr/>
      </w:pPr>
      <w:r>
        <w:rPr>
          <w:b/>
          <w:bCs/>
        </w:rPr>
        <w:t xml:space="preserve">Executive Committee.  </w:t>
      </w:r>
      <w:r>
        <w:rPr>
          <w:bCs/>
        </w:rPr>
        <w:tab/>
        <w:t xml:space="preserve">The Executive Committee is the permanent Executive body for the Working Group.  The Executive Committee consists of a Chair, Vice Chair and five to seven additional members.  These members are chosen by the members of the Membership Group by majority vote.  Each Chair shall serve a term of one year, and terms may be renewed by the Executive Committee. The primary qualifications for membership in the Executive Committee are knowledge of industry practices and a willingness to work hard.  The Executive Committee shall be responsible for identifying major issues to be addressed to keep the EEI Contract current with market developments, establishing working committees and identifying opportunities for outreach, education and professional development to achieve greater understanding and promote greater use of the EEI Contract. </w:t>
      </w:r>
    </w:p>
    <w:p>
      <w:pPr>
        <w:pStyle w:val="Normal"/>
        <w:rPr>
          <w:bCs/>
        </w:rPr>
      </w:pPr>
      <w:r>
        <w:rPr>
          <w:bCs/>
        </w:rPr>
      </w:r>
    </w:p>
    <w:p>
      <w:pPr>
        <w:pStyle w:val="Normal"/>
        <w:rPr/>
      </w:pPr>
      <w:r>
        <w:rPr>
          <w:b/>
        </w:rPr>
        <w:t xml:space="preserve">Drafting Subcommittee.  </w:t>
        <w:tab/>
      </w:r>
      <w:r>
        <w:rPr>
          <w:bCs/>
        </w:rPr>
        <w:t>The Executive Committee shall establish and appoint a Chair for a Drafting Subcommittee consisting of seven to eleven members of the Working Group to make suggestions and recommendations regarding changes to the EEI Master Contract. The Drafting Subcommittee shall be responsible for preparing  additional provisions or amendments to the EEI Master Contract, as well as optional supplemental provisions for consideration by the Membership Group.</w:t>
      </w:r>
    </w:p>
    <w:p>
      <w:pPr>
        <w:pStyle w:val="Normal"/>
        <w:rPr>
          <w:bCs/>
        </w:rPr>
      </w:pPr>
      <w:r>
        <w:rPr>
          <w:bCs/>
        </w:rPr>
      </w:r>
    </w:p>
    <w:p>
      <w:pPr>
        <w:pStyle w:val="Normal"/>
        <w:rPr>
          <w:bCs/>
        </w:rPr>
      </w:pPr>
      <w:r>
        <w:rPr>
          <w:bCs/>
        </w:rPr>
        <w:t xml:space="preserve">The Drafting Subcommittee may provide non-binding responses to questions and requests for interpretation of the EEI Master Contract.  All members of the Working Group are eligible to participate in the Drafting Committee. </w:t>
      </w:r>
    </w:p>
    <w:p>
      <w:pPr>
        <w:pStyle w:val="Normal"/>
        <w:rPr>
          <w:bCs/>
        </w:rPr>
      </w:pPr>
      <w:r>
        <w:rPr>
          <w:bCs/>
        </w:rPr>
      </w:r>
    </w:p>
    <w:p>
      <w:pPr>
        <w:pStyle w:val="Normal"/>
        <w:rPr/>
      </w:pPr>
      <w:r>
        <w:rPr>
          <w:b/>
        </w:rPr>
        <w:t xml:space="preserve">Other Subcommittees.  </w:t>
      </w:r>
      <w:r>
        <w:rPr>
          <w:bCs/>
        </w:rPr>
        <w:t xml:space="preserve">The Executive Committee may establish other Subcommittees as needed to address issues or conduct the business of the Working Group.  Subcommittees may be used, for example, to conduct training sessions or to address special issues, such as a Canadian addendum, credit matters or other issues which are identified by members.  </w:t>
      </w:r>
    </w:p>
    <w:p>
      <w:pPr>
        <w:pStyle w:val="Normal"/>
        <w:rPr>
          <w:bCs/>
        </w:rPr>
      </w:pPr>
      <w:r>
        <w:rPr>
          <w:bCs/>
        </w:rPr>
      </w:r>
    </w:p>
    <w:p>
      <w:pPr>
        <w:pStyle w:val="Normal"/>
        <w:rPr>
          <w:bCs/>
        </w:rPr>
      </w:pPr>
      <w:r>
        <w:rPr>
          <w:bCs/>
        </w:rPr>
        <w:t xml:space="preserve">The Executive Committee shall notify all members of the creation of new Subcommittees and at least once a year invite members to participate on all such Subcommittees.  </w:t>
      </w:r>
    </w:p>
    <w:p>
      <w:pPr>
        <w:pStyle w:val="Normal"/>
        <w:rPr>
          <w:bCs/>
        </w:rPr>
      </w:pPr>
      <w:r>
        <w:rPr>
          <w:bCs/>
        </w:rPr>
      </w:r>
    </w:p>
    <w:p>
      <w:pPr>
        <w:pStyle w:val="Normal"/>
        <w:rPr/>
      </w:pPr>
      <w:r>
        <w:rPr>
          <w:b/>
        </w:rPr>
        <w:t xml:space="preserve">Meetings. </w:t>
      </w:r>
      <w:r>
        <w:rPr>
          <w:bCs/>
        </w:rPr>
        <w:t xml:space="preserve">  </w:t>
        <w:tab/>
        <w:t xml:space="preserve">The Executive Committee will meet at least twice a year, usually summer and winter at locations determined by the Executive Committee Chair.   The Working Group will meet at least twice a year, usually Spring and Fall at locations determined by the Executive Committee Chair.  Meetings may take place by conference call or other electronic media. </w:t>
      </w:r>
    </w:p>
    <w:p>
      <w:pPr>
        <w:pStyle w:val="Normal"/>
        <w:rPr>
          <w:bCs/>
        </w:rPr>
      </w:pPr>
      <w:r>
        <w:rPr>
          <w:bCs/>
        </w:rPr>
      </w:r>
    </w:p>
    <w:p>
      <w:pPr>
        <w:pStyle w:val="Normal"/>
        <w:rPr/>
      </w:pPr>
      <w:r>
        <w:rPr>
          <w:b/>
        </w:rPr>
        <w:t xml:space="preserve">Voting.  </w:t>
        <w:tab/>
      </w:r>
      <w:r>
        <w:rPr>
          <w:bCs/>
        </w:rPr>
        <w:t xml:space="preserve">The Working Group shall strive to achieve a broad consensus on all decisions affecting the EEI Master Contract in order to achieve the goal of standardizing key business terms in a manner which permits and facilitates modifications needed for individualized transactions.  Where consensus is not achievable, the Working Group shall strive to identify standardized optional, supplemental provisions in lieu of a single standardized provision.  </w:t>
      </w:r>
    </w:p>
    <w:p>
      <w:pPr>
        <w:pStyle w:val="Normal"/>
        <w:rPr>
          <w:bCs/>
        </w:rPr>
      </w:pPr>
      <w:r>
        <w:rPr>
          <w:bCs/>
        </w:rPr>
      </w:r>
    </w:p>
    <w:p>
      <w:pPr>
        <w:pStyle w:val="Normal"/>
        <w:rPr>
          <w:bCs/>
        </w:rPr>
      </w:pPr>
      <w:r>
        <w:rPr>
          <w:bCs/>
        </w:rPr>
        <w:t xml:space="preserve">All organizations belonging to the Working Group are eligible to vote, but each organization shall have only one vote.  Any new provision or modification of an existing provision in the EEI Master Contract requires approval of two thirds of the Executive Committee members and then two thirds of the Working Group members present at the time of the vote. All other decisions shall be made by majority vote of the members present at the time of the vote.  The Executive Committee shall provide members adequate notice of all matters up for a vote.  Members may vote in person or via telephone at a meeting. </w:t>
      </w:r>
    </w:p>
    <w:p>
      <w:pPr>
        <w:pStyle w:val="Normal"/>
        <w:rPr>
          <w:bCs/>
        </w:rPr>
      </w:pPr>
      <w:r>
        <w:rPr>
          <w:bCs/>
        </w:rPr>
        <w:t xml:space="preserve">  </w:t>
      </w:r>
    </w:p>
    <w:p>
      <w:pPr>
        <w:pStyle w:val="Normal"/>
        <w:rPr>
          <w:bCs/>
        </w:rPr>
      </w:pPr>
      <w:r>
        <w:rPr>
          <w:bCs/>
        </w:rPr>
      </w:r>
    </w:p>
    <w:p>
      <w:pPr>
        <w:pStyle w:val="Normal"/>
        <w:rPr/>
      </w:pPr>
      <w:r>
        <w:rPr>
          <w:b/>
          <w:bCs/>
        </w:rPr>
        <w:t xml:space="preserve">Administration.  </w:t>
        <w:tab/>
      </w:r>
      <w:r>
        <w:rPr/>
        <w:t xml:space="preserve">Administrative responsibilities for the Working Group shall be handled by the Edison Electric Institute.  These responsibilities shall include all communications and notifications, meeting administration and coordination, maintenance of appropriate minutes and records of Working Group deliberations and communication of such to members as appropriate, coordination and administration of  educational and professional development sessions, maintenance of a website and facilities for electronic communication among members, collection and dispersal of funds and other responsibilities assigned by the Executive Committee.  In conducting these responsibilities, EEI staff shall serve as a neutral, informed facilitator and advisor and not as an advocate for any sector or interest. </w:t>
      </w:r>
    </w:p>
    <w:p>
      <w:pPr>
        <w:pStyle w:val="Normal"/>
        <w:rPr/>
      </w:pPr>
      <w:r>
        <w:rPr/>
      </w:r>
    </w:p>
    <w:p>
      <w:pPr>
        <w:pStyle w:val="Normal"/>
        <w:rPr/>
      </w:pPr>
      <w:r>
        <w:rPr/>
        <w:t xml:space="preserve">The Executive Committee shall determine the annual budget for these responsibilities and shall establish an annual payment level for participants in the EEI Master Contract Working Group to defray these expenses.   </w:t>
      </w:r>
    </w:p>
    <w:p>
      <w:pPr>
        <w:pStyle w:val="Normal"/>
        <w:rPr/>
      </w:pPr>
      <w:r>
        <w:rPr/>
      </w:r>
    </w:p>
    <w:p>
      <w:pPr>
        <w:pStyle w:val="Normal"/>
        <w:rPr/>
      </w:pPr>
      <w:r>
        <w:rPr/>
      </w:r>
    </w:p>
    <w:p>
      <w:pPr>
        <w:pStyle w:val="Normal"/>
        <w:rPr/>
      </w:pPr>
      <w:r>
        <w:rPr/>
      </w:r>
    </w:p>
    <w:p>
      <w:pPr>
        <w:pStyle w:val="Normal"/>
        <w:jc w:val="center"/>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2001-11-08T16:16:00Z</dcterms:created>
  <dc:creator>Ed Comer</dc:creator>
  <dc:description/>
  <dc:language>en-CA</dc:language>
  <cp:lastModifiedBy>Cynthia Trueheart</cp:lastModifiedBy>
  <dcterms:modified xsi:type="dcterms:W3CDTF">2001-11-08T16:21:00Z</dcterms:modified>
  <cp:revision>3</cp:revision>
  <dc:subject/>
  <dc:title>Statement of Organization</dc:title>
</cp:coreProperties>
</file>