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tab/>
        <w:tab/>
        <w:tab/>
        <w:tab/>
        <w:tab/>
        <w:tab/>
      </w:r>
      <w:r>
        <w:rPr>
          <w:b/>
          <w:bCs/>
        </w:rPr>
        <w:tab/>
      </w:r>
    </w:p>
    <w:p>
      <w:pPr>
        <w:pStyle w:val="Normal"/>
        <w:jc w:val="center"/>
        <w:rPr>
          <w:sz w:val="22"/>
        </w:rPr>
      </w:pPr>
      <w:r>
        <w:rPr>
          <w:sz w:val="22"/>
        </w:rPr>
      </w:r>
    </w:p>
    <w:p>
      <w:pPr>
        <w:pStyle w:val="Normal"/>
        <w:ind w:firstLine="720" w:start="1440" w:end="0"/>
        <w:jc w:val="center"/>
        <w:rPr>
          <w:sz w:val="22"/>
        </w:rPr>
      </w:pPr>
      <w:r>
        <w:rPr>
          <w:sz w:val="22"/>
        </w:rPr>
        <w:t>August 22, 2001</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Mr. John Kennedy</w:t>
      </w:r>
    </w:p>
    <w:p>
      <w:pPr>
        <w:pStyle w:val="Normal"/>
        <w:jc w:val="both"/>
        <w:rPr>
          <w:sz w:val="22"/>
        </w:rPr>
      </w:pPr>
      <w:r>
        <w:rPr>
          <w:sz w:val="22"/>
        </w:rPr>
        <w:t>Ms. Ruth Reile</w:t>
      </w:r>
    </w:p>
    <w:p>
      <w:pPr>
        <w:pStyle w:val="Normal"/>
        <w:jc w:val="both"/>
        <w:rPr>
          <w:sz w:val="22"/>
        </w:rPr>
      </w:pPr>
      <w:r>
        <w:rPr>
          <w:sz w:val="22"/>
        </w:rPr>
        <w:t xml:space="preserve">Kennedy Oil </w:t>
      </w:r>
    </w:p>
    <w:p>
      <w:pPr>
        <w:pStyle w:val="Normal"/>
        <w:jc w:val="both"/>
        <w:rPr/>
      </w:pPr>
      <w:r>
        <w:rPr>
          <w:sz w:val="22"/>
        </w:rPr>
        <w:t>700 W. 6</w:t>
      </w:r>
      <w:r>
        <w:rPr>
          <w:sz w:val="22"/>
          <w:vertAlign w:val="superscript"/>
        </w:rPr>
        <w:t>th</w:t>
      </w:r>
      <w:r>
        <w:rPr>
          <w:sz w:val="22"/>
        </w:rPr>
        <w:t xml:space="preserve"> Street</w:t>
      </w:r>
    </w:p>
    <w:p>
      <w:pPr>
        <w:pStyle w:val="Normal"/>
        <w:jc w:val="both"/>
        <w:rPr>
          <w:sz w:val="22"/>
        </w:rPr>
      </w:pPr>
      <w:r>
        <w:rPr>
          <w:sz w:val="22"/>
        </w:rPr>
        <w:t>Gillette, Wyoming 82716</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Payment Two pursuant to that certain letter agreement between Kennedy Oil (“Kennedy”) and Enron North America Corp. (“ENA”) dated March 15, 2001 concerning Kern River Gas Transmission Company’s March 12, 2001 Open Season as amended on April 16, 2001 (the “Letter Agreement”).</w:t>
      </w:r>
    </w:p>
    <w:p>
      <w:pPr>
        <w:pStyle w:val="Normal"/>
        <w:jc w:val="both"/>
        <w:rPr>
          <w:sz w:val="22"/>
        </w:rPr>
      </w:pPr>
      <w:r>
        <w:rPr>
          <w:sz w:val="22"/>
        </w:rPr>
      </w:r>
    </w:p>
    <w:p>
      <w:pPr>
        <w:pStyle w:val="Normal"/>
        <w:jc w:val="both"/>
        <w:rPr>
          <w:sz w:val="22"/>
        </w:rPr>
      </w:pPr>
      <w:r>
        <w:rPr>
          <w:sz w:val="22"/>
        </w:rPr>
        <w:t>Dear Mr. Kennedy and Ms. Reile:</w:t>
      </w:r>
    </w:p>
    <w:p>
      <w:pPr>
        <w:pStyle w:val="Normal"/>
        <w:jc w:val="both"/>
        <w:rPr>
          <w:sz w:val="22"/>
        </w:rPr>
      </w:pPr>
      <w:r>
        <w:rPr>
          <w:sz w:val="22"/>
        </w:rPr>
      </w:r>
    </w:p>
    <w:p>
      <w:pPr>
        <w:pStyle w:val="BodyText"/>
        <w:rPr/>
      </w:pPr>
      <w:r>
        <w:rPr/>
        <w:tab/>
        <w:t>This statement (this “Statement”) sets forth the calculation and payment method of Payment Two (as such term is defined in the Letter Agreement) pursuant to the terms and conditions of the Letter Agreement.  In accordance with the terms of the Letter Agreement, ENA has established Payment Two to be an amount of $32,052.  The detailed calculation of Payment Two is set forth on Appendix “A” attached hereto.  Kennedy agrees that in accordance with the terms and conditions of the Letter Agreement, the calculation of Payment Two is conclusively binding on both ENA and Kennedy.</w:t>
      </w:r>
    </w:p>
    <w:p>
      <w:pPr>
        <w:pStyle w:val="BodyText"/>
        <w:rPr>
          <w:i/>
          <w:i/>
          <w:iCs/>
        </w:rPr>
      </w:pPr>
      <w:r>
        <w:rPr>
          <w:i/>
          <w:iCs/>
        </w:rPr>
      </w:r>
    </w:p>
    <w:p>
      <w:pPr>
        <w:pStyle w:val="BodyText"/>
        <w:rPr/>
      </w:pPr>
      <w:r>
        <w:rPr/>
        <w:tab/>
        <w:t>Payment Two shall be paid to Kennedy by ENA via wire transfer at the following account on August 22, 2001:</w:t>
      </w:r>
    </w:p>
    <w:p>
      <w:pPr>
        <w:pStyle w:val="BodyText"/>
        <w:rPr/>
      </w:pPr>
      <w:r>
        <w:rPr/>
      </w:r>
    </w:p>
    <w:p>
      <w:pPr>
        <w:pStyle w:val="Normal"/>
        <w:autoSpaceDE w:val="false"/>
        <w:ind w:start="1530" w:end="0"/>
        <w:rPr>
          <w:szCs w:val="24"/>
        </w:rPr>
      </w:pPr>
      <w:r>
        <w:rPr>
          <w:szCs w:val="24"/>
        </w:rPr>
        <w:t>First Interstate Bank of Commerce</w:t>
      </w:r>
    </w:p>
    <w:p>
      <w:pPr>
        <w:pStyle w:val="Normal"/>
        <w:autoSpaceDE w:val="false"/>
        <w:ind w:start="1530" w:end="0"/>
        <w:rPr>
          <w:szCs w:val="24"/>
        </w:rPr>
      </w:pPr>
      <w:r>
        <w:rPr>
          <w:szCs w:val="24"/>
        </w:rPr>
        <w:t>Gillette Branch</w:t>
      </w:r>
    </w:p>
    <w:p>
      <w:pPr>
        <w:pStyle w:val="Normal"/>
        <w:autoSpaceDE w:val="false"/>
        <w:ind w:start="1530" w:end="0"/>
        <w:rPr>
          <w:szCs w:val="24"/>
        </w:rPr>
      </w:pPr>
      <w:r>
        <w:rPr>
          <w:szCs w:val="24"/>
        </w:rPr>
        <w:t>ABA# 102300129</w:t>
      </w:r>
    </w:p>
    <w:p>
      <w:pPr>
        <w:pStyle w:val="Normal"/>
        <w:autoSpaceDE w:val="false"/>
        <w:ind w:start="1530" w:end="0"/>
        <w:rPr>
          <w:szCs w:val="24"/>
        </w:rPr>
      </w:pPr>
      <w:r>
        <w:rPr>
          <w:szCs w:val="24"/>
        </w:rPr>
        <w:t>Account# 362170342</w:t>
      </w:r>
    </w:p>
    <w:p>
      <w:pPr>
        <w:pStyle w:val="Normal"/>
        <w:autoSpaceDE w:val="false"/>
        <w:ind w:start="1530" w:end="0"/>
        <w:rPr>
          <w:sz w:val="22"/>
          <w:szCs w:val="24"/>
        </w:rPr>
      </w:pPr>
      <w:r>
        <w:rPr>
          <w:sz w:val="22"/>
          <w:szCs w:val="24"/>
        </w:rPr>
      </w:r>
    </w:p>
    <w:p>
      <w:pPr>
        <w:pStyle w:val="BodyText"/>
        <w:rPr/>
      </w:pPr>
      <w:r>
        <w:rPr/>
        <w:t xml:space="preserve">    </w:t>
      </w:r>
    </w:p>
    <w:p>
      <w:pPr>
        <w:pStyle w:val="BodyText"/>
        <w:ind w:firstLine="720" w:end="0"/>
        <w:rPr>
          <w:b/>
          <w:bCs/>
        </w:rPr>
      </w:pPr>
      <w:r>
        <w:rPr>
          <w:b/>
          <w:bCs/>
        </w:rPr>
        <w:t>THIS STATEMENT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to the detailed calculation of Payment Two contained herein, all other terms and conditions of the Letter Agreement shall remain in full force and effect.</w:t>
      </w:r>
      <w:r>
        <w:rPr/>
        <w:t xml:space="preserve"> </w:t>
      </w:r>
    </w:p>
    <w:p>
      <w:pPr>
        <w:pStyle w:val="BodyText"/>
        <w:ind w:firstLine="720" w:start="720" w:end="0"/>
        <w:rPr/>
      </w:pPr>
      <w:r>
        <w:rPr/>
      </w:r>
    </w:p>
    <w:p>
      <w:pPr>
        <w:pStyle w:val="BodyTextIndent2"/>
        <w:rPr>
          <w:b w:val="false"/>
          <w:bCs/>
        </w:rPr>
      </w:pPr>
      <w:r>
        <w:rPr>
          <w:b w:val="false"/>
          <w:bCs/>
        </w:rPr>
        <w:t>This Statement may be executed in separate counterparts and delivered by facsimile.</w:t>
      </w:r>
    </w:p>
    <w:p>
      <w:pPr>
        <w:pStyle w:val="BodyText"/>
        <w:ind w:firstLine="720" w:start="720" w:end="0"/>
        <w:rPr>
          <w:b/>
          <w:bCs/>
        </w:rPr>
      </w:pPr>
      <w:r>
        <w:rPr>
          <w:b/>
          <w:bCs/>
        </w:rPr>
      </w:r>
    </w:p>
    <w:p>
      <w:pPr>
        <w:pStyle w:val="BodyText"/>
        <w:jc w:val="center"/>
        <w:rPr>
          <w:b/>
          <w:bCs/>
        </w:rPr>
      </w:pPr>
      <w:r>
        <w:rPr>
          <w:b/>
          <w:bCs/>
        </w:rPr>
        <w:t>[signatures on next page]</w:t>
      </w:r>
    </w:p>
    <w:p>
      <w:pPr>
        <w:pStyle w:val="BodyText"/>
        <w:jc w:val="center"/>
        <w:rPr>
          <w:b/>
          <w:bCs/>
        </w:rPr>
      </w:pPr>
      <w:r>
        <w:rPr>
          <w:b/>
          <w:bCs/>
        </w:rPr>
      </w:r>
    </w:p>
    <w:p>
      <w:pPr>
        <w:pStyle w:val="BodyText"/>
        <w:jc w:val="center"/>
        <w:rPr>
          <w:b/>
          <w:bCs/>
        </w:rPr>
      </w:pPr>
      <w:r>
        <w:rPr>
          <w:b/>
          <w:bCs/>
        </w:rPr>
      </w:r>
    </w:p>
    <w:p>
      <w:pPr>
        <w:pStyle w:val="BodyText"/>
        <w:jc w:val="center"/>
        <w:rPr>
          <w:b/>
          <w:bCs/>
        </w:rPr>
      </w:pPr>
      <w:r>
        <w:rPr>
          <w:b/>
          <w:bCs/>
        </w:rPr>
      </w:r>
    </w:p>
    <w:p>
      <w:pPr>
        <w:pStyle w:val="BodyText"/>
        <w:ind w:firstLine="720" w:start="720" w:end="0"/>
        <w:rPr>
          <w:b/>
          <w:bCs/>
        </w:rPr>
      </w:pPr>
      <w:r>
        <w:rPr>
          <w:b/>
          <w:bCs/>
        </w:rPr>
      </w:r>
    </w:p>
    <w:p>
      <w:pPr>
        <w:pStyle w:val="BodyText"/>
        <w:rPr/>
      </w:pPr>
      <w:r>
        <w:rPr/>
        <w:tab/>
        <w:t>If the foregoing accurately reflects our agreement with respect to these matters, please so indicate by executing this Statement in the space provided below.</w:t>
      </w:r>
    </w:p>
    <w:p>
      <w:pPr>
        <w:pStyle w:val="BodyText"/>
        <w:rPr/>
      </w:pPr>
      <w:r>
        <w:rPr/>
      </w:r>
    </w:p>
    <w:p>
      <w:pPr>
        <w:pStyle w:val="BodyText"/>
        <w:rPr/>
      </w:pPr>
      <w:r>
        <w:rPr/>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August, 2001.</w:t>
      </w:r>
    </w:p>
    <w:p>
      <w:pPr>
        <w:pStyle w:val="Normal"/>
        <w:jc w:val="both"/>
        <w:rPr>
          <w:sz w:val="22"/>
        </w:rPr>
      </w:pPr>
      <w:r>
        <w:rPr>
          <w:sz w:val="22"/>
        </w:rPr>
      </w:r>
    </w:p>
    <w:p>
      <w:pPr>
        <w:pStyle w:val="BodyText2"/>
        <w:rPr>
          <w:sz w:val="22"/>
        </w:rPr>
      </w:pPr>
      <w:r>
        <w:rPr>
          <w:b/>
          <w:sz w:val="22"/>
        </w:rPr>
        <w:t xml:space="preserve">KENNEDY OIL </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Kennedy Oil Corporation</w:t>
    </w:r>
  </w:p>
  <w:p>
    <w:pPr>
      <w:pStyle w:val="Header"/>
      <w:rPr>
        <w:sz w:val="20"/>
      </w:rPr>
    </w:pPr>
    <w:r>
      <w:rPr>
        <w:sz w:val="20"/>
      </w:rPr>
      <w:t>Page 2</w:t>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2001-08-17T17:31:00Z</dcterms:created>
  <dc:creator>Shonnie Daniel</dc:creator>
  <dc:description/>
  <cp:keywords>CARMICHAEL FIELD 4" P/L</cp:keywords>
  <dc:language>en-CA</dc:language>
  <cp:lastModifiedBy>Keegan Farrell</cp:lastModifiedBy>
  <cp:lastPrinted>2001-08-21T17:02:00Z</cp:lastPrinted>
  <dcterms:modified xsi:type="dcterms:W3CDTF">2001-08-21T19:33:00Z</dcterms:modified>
  <cp:revision>7</cp:revision>
  <dc:subject>ONYX GATHERING COMPANY, L.C.</dc:subject>
  <dc:title>LETTER OF UNDERSTANDINDG</dc:title>
</cp:coreProperties>
</file>