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embeddings/oleObject2.xlsx" ContentType="application/vnd.openxmlformats-officedocument.spreadsheetml.sheet"/>
  <Override PartName="/word/embeddings/oleObject3.pptx" ContentType="application/vnd.openxmlformats-officedocument.presentationml.presentation"/>
  <Override PartName="/word/embeddings/oleObject4.xlsx" ContentType="application/vnd.openxmlformats-officedocument.spreadsheetml.sheet"/>
  <Override PartName="/word/embeddings/oleObject5.xlsx" ContentType="application/vnd.openxmlformats-officedocument.spreadsheetml.sheet"/>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10.png" ContentType="image/png"/>
  <Override PartName="/word/media/image6.wmf" ContentType="image/x-wmf"/>
  <Override PartName="/word/media/image7.wmf" ContentType="image/x-wmf"/>
  <Override PartName="/word/media/image8.wmf" ContentType="image/x-wmf"/>
  <Override PartName="/word/media/image9.wmf" ContentType="image/x-wmf"/>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Enterprise Risk Management</w:t>
      </w:r>
    </w:p>
    <w:p>
      <w:pPr>
        <w:pStyle w:val="Normal"/>
        <w:spacing w:lineRule="auto" w:line="480"/>
        <w:rPr>
          <w:sz w:val="24"/>
        </w:rPr>
      </w:pPr>
      <w:r>
        <w:rPr>
          <w:sz w:val="24"/>
        </w:rPr>
      </w:r>
    </w:p>
    <w:p>
      <w:pPr>
        <w:pStyle w:val="BodyText"/>
        <w:spacing w:lineRule="auto" w:line="480"/>
        <w:ind w:firstLine="720" w:end="0"/>
        <w:rPr/>
      </w:pPr>
      <w:r>
        <w:rPr/>
        <w:t>This document summarizes the Enterprise Risk Management effort (ERM) over the past year and provides some long term guidance for the year ahead.  It details the different issues that have arisen from time to time and our approach to handling them.  The document also contains a list of key people around Enron that have access to certain types of information, as well as names of databases and limited distribution publications.  All major presentations, write-ups, and code are contained in the Appendices at the end of this document.  Furthermore, there are hundreds and hundreds of pages of supporting documents that have been archived.  These documents are available to the interested reader.  Finally, an executive summary has been prepared separately.</w:t>
      </w:r>
    </w:p>
    <w:p>
      <w:pPr>
        <w:pStyle w:val="Normal"/>
        <w:rPr>
          <w:sz w:val="24"/>
          <w:u w:val="single"/>
        </w:rPr>
      </w:pPr>
      <w:r>
        <w:rPr>
          <w:sz w:val="24"/>
          <w:u w:val="single"/>
        </w:rPr>
      </w:r>
    </w:p>
    <w:p>
      <w:pPr>
        <w:pStyle w:val="Normal"/>
        <w:spacing w:lineRule="auto" w:line="480"/>
        <w:rPr>
          <w:sz w:val="24"/>
        </w:rPr>
      </w:pPr>
      <w:r>
        <w:rPr>
          <w:sz w:val="24"/>
          <w:u w:val="single"/>
        </w:rPr>
        <w:t>Who we are</w:t>
      </w:r>
    </w:p>
    <w:p>
      <w:pPr>
        <w:pStyle w:val="Normal"/>
        <w:spacing w:lineRule="auto" w:line="480"/>
        <w:ind w:firstLine="720" w:end="0"/>
        <w:rPr>
          <w:sz w:val="24"/>
        </w:rPr>
      </w:pPr>
      <w:r>
        <w:rPr>
          <w:sz w:val="24"/>
        </w:rPr>
        <w:t>The ERM team is composed of the following individuals: Kevin Kindall, Li Sun, Ding Yuan, and lately Kate Lucas.  Vince Kaminski, Vasant Shanbhogue, and Rick Carson (David Port) receive weekly reports about the status of the project and a listing of the various efforts underway.  Grant Masson is familiar with certain aspects of the project, but is no longer an employee of Enron.  Ding Yuan has recently joined David Port’s group.</w:t>
      </w:r>
    </w:p>
    <w:p>
      <w:pPr>
        <w:pStyle w:val="Normal"/>
        <w:rPr>
          <w:sz w:val="24"/>
        </w:rPr>
      </w:pPr>
      <w:r>
        <w:rPr>
          <w:sz w:val="24"/>
        </w:rPr>
      </w:r>
    </w:p>
    <w:p>
      <w:pPr>
        <w:pStyle w:val="Heading2"/>
        <w:spacing w:lineRule="auto" w:line="480"/>
        <w:ind w:hanging="0" w:start="0"/>
        <w:rPr/>
      </w:pPr>
      <w:r>
        <w:rPr/>
        <w:t>Project scope and definition</w:t>
      </w:r>
    </w:p>
    <w:p>
      <w:pPr>
        <w:pStyle w:val="Normal"/>
        <w:spacing w:lineRule="auto" w:line="480"/>
        <w:ind w:firstLine="720" w:end="0"/>
        <w:rPr>
          <w:sz w:val="24"/>
        </w:rPr>
      </w:pPr>
      <w:r>
        <w:rPr>
          <w:sz w:val="24"/>
        </w:rPr>
        <w:t>Across corporate America, ERM has a number of different definitions.  At Enron, we have chosen to define ERM as a process for the systematic identification, measurement, reporting and monitoring of different exposures that Enron faces corporate-wide.  The proposed system will consist of a family of IT modules that capture, aggregate, and measure a given exposure.  The stated objective of each module is to measure the order of magnitude of a specific risk, and not to produce a measurement that is as precise as a value-at-risk measurement, although for certain risks this may be possible.  The exposures of interest are as follows: volumetric risk, credit risk, F/X and I/R risk, market indices risk, asset/liability management, and operational risk.  Each exposure is defined below.</w:t>
      </w:r>
    </w:p>
    <w:p>
      <w:pPr>
        <w:pStyle w:val="Normal"/>
        <w:rPr/>
      </w:pPr>
      <w:r>
        <w:rPr>
          <w:b/>
          <w:sz w:val="24"/>
        </w:rPr>
        <w:t>Volumetric risk</w:t>
      </w:r>
      <w:r>
        <w:rPr>
          <w:sz w:val="24"/>
        </w:rPr>
        <w:t xml:space="preserve">—the measurement of the net open position in each major commodity across all company operations and assessment of the impact of a major price shift in commodity markets on company earnings and financial condition.  </w:t>
      </w:r>
    </w:p>
    <w:p>
      <w:pPr>
        <w:pStyle w:val="Normal"/>
        <w:rPr>
          <w:sz w:val="24"/>
        </w:rPr>
      </w:pPr>
      <w:r>
        <w:rPr>
          <w:sz w:val="24"/>
        </w:rPr>
      </w:r>
    </w:p>
    <w:p>
      <w:pPr>
        <w:pStyle w:val="Normal"/>
        <w:rPr/>
      </w:pPr>
      <w:r>
        <w:rPr>
          <w:b/>
          <w:sz w:val="24"/>
        </w:rPr>
        <w:t>Credit risk</w:t>
      </w:r>
      <w:r>
        <w:rPr>
          <w:sz w:val="24"/>
        </w:rPr>
        <w:t xml:space="preserve">—the consistent measurement and aggregation of credit exposures across all business units of Enron.  This incorporates the credit risk associated with vendors, particularly software vendors, that Enron is dependent upon, as well as incorporating the bankruptcy option.  </w:t>
      </w:r>
    </w:p>
    <w:p>
      <w:pPr>
        <w:pStyle w:val="Normal"/>
        <w:rPr>
          <w:sz w:val="24"/>
        </w:rPr>
      </w:pPr>
      <w:r>
        <w:rPr>
          <w:sz w:val="24"/>
        </w:rPr>
      </w:r>
    </w:p>
    <w:p>
      <w:pPr>
        <w:pStyle w:val="Normal"/>
        <w:rPr/>
      </w:pPr>
      <w:r>
        <w:rPr>
          <w:b/>
          <w:sz w:val="24"/>
        </w:rPr>
        <w:t>F/X and I/R risk</w:t>
      </w:r>
      <w:r>
        <w:rPr>
          <w:sz w:val="24"/>
        </w:rPr>
        <w:t>—the evaluation of the riskiness of F/X and I/R positions embedded in the balance sheet and other financial statements.</w:t>
      </w:r>
    </w:p>
    <w:p>
      <w:pPr>
        <w:pStyle w:val="Normal"/>
        <w:rPr>
          <w:sz w:val="24"/>
        </w:rPr>
      </w:pPr>
      <w:r>
        <w:rPr>
          <w:sz w:val="24"/>
        </w:rPr>
      </w:r>
    </w:p>
    <w:p>
      <w:pPr>
        <w:pStyle w:val="Normal"/>
        <w:rPr/>
      </w:pPr>
      <w:r>
        <w:rPr>
          <w:b/>
          <w:sz w:val="24"/>
        </w:rPr>
        <w:t>Market indices</w:t>
      </w:r>
      <w:r>
        <w:rPr>
          <w:sz w:val="24"/>
        </w:rPr>
        <w:t>—the evaluation of Enron’s exposure to different stock market and economic indices.  This also includes the exposure to inflation rates in the US and elsewhere.</w:t>
      </w:r>
    </w:p>
    <w:p>
      <w:pPr>
        <w:pStyle w:val="Normal"/>
        <w:rPr>
          <w:sz w:val="24"/>
        </w:rPr>
      </w:pPr>
      <w:r>
        <w:rPr>
          <w:sz w:val="24"/>
        </w:rPr>
      </w:r>
    </w:p>
    <w:p>
      <w:pPr>
        <w:pStyle w:val="Normal"/>
        <w:rPr/>
      </w:pPr>
      <w:r>
        <w:rPr>
          <w:b/>
          <w:sz w:val="24"/>
        </w:rPr>
        <w:t>Asset/Liability management</w:t>
      </w:r>
      <w:r>
        <w:rPr>
          <w:sz w:val="24"/>
        </w:rPr>
        <w:t xml:space="preserve">—the purpose of A/L management is threefold.  1) Project the set of financial statements over time, and analyze the impact of different risk factors on Enron’s financial statements in a dynamic/static framework under different business scenarios.  2) Determine the impact of interest rates and exchange rate fluctuations on Enron’s balance sheet, cost of debt, and earnings given future anticipated cash flows and unexpected financing needs. 3) Determine the optimal maturity of Enron’s debt, fixed/float ratio, and the possibility of a liquidity crisis.  This module will also incorporate off balance sheet financing.  </w:t>
      </w:r>
    </w:p>
    <w:p>
      <w:pPr>
        <w:pStyle w:val="Normal"/>
        <w:rPr>
          <w:sz w:val="24"/>
        </w:rPr>
      </w:pPr>
      <w:r>
        <w:rPr>
          <w:sz w:val="24"/>
        </w:rPr>
      </w:r>
    </w:p>
    <w:p>
      <w:pPr>
        <w:pStyle w:val="BodyText"/>
        <w:rPr/>
      </w:pPr>
      <w:r>
        <w:rPr>
          <w:b/>
        </w:rPr>
        <w:t>Operational risk</w:t>
      </w:r>
      <w:r>
        <w:rPr/>
        <w:t>—measurement and quantification of selected operational risk, both for our trading operations and our physical assets.</w:t>
      </w:r>
    </w:p>
    <w:p>
      <w:pPr>
        <w:pStyle w:val="Normal"/>
        <w:rPr>
          <w:sz w:val="24"/>
        </w:rPr>
      </w:pPr>
      <w:r>
        <w:rPr>
          <w:sz w:val="24"/>
        </w:rPr>
      </w:r>
    </w:p>
    <w:p>
      <w:pPr>
        <w:pStyle w:val="Heading2"/>
        <w:spacing w:lineRule="auto" w:line="480"/>
        <w:ind w:hanging="0" w:start="0"/>
        <w:rPr/>
      </w:pPr>
      <w:r>
        <w:rPr/>
        <w:t>Background</w:t>
      </w:r>
    </w:p>
    <w:p>
      <w:pPr>
        <w:pStyle w:val="BodyTextIndent"/>
        <w:rPr/>
      </w:pPr>
      <w:r>
        <w:rPr/>
        <w:t>The author was hired to spearhead the ERM effort, and was told to design prototypes and map out strategies on a conceptual level.  To that end, several prototypes have been developed, and a number of different strategies put forth.  The effort was started November 23, 1999 with a meeting with Rick Buy.</w:t>
      </w:r>
    </w:p>
    <w:p>
      <w:pPr>
        <w:pStyle w:val="BodyTextIndent"/>
        <w:rPr/>
      </w:pPr>
      <w:r>
        <w:rPr/>
        <w:t xml:space="preserve">Before the effort could begin in earnest, it was necessary to understand the corporate structure of Enron.  There were many different organizational charts available, and most were slightly different from one another.  Human Resources provided us with a list of all Enron entities, but they were far too numerous, and many of them were irrelevant to our purposes.  We found that the best place to learn about Enron’s organizational structure was Bob Butt’s accounting team.  In late 1999, they had produced a corporate-wide capital deployment report, and had the results broken down by Enron entity.  A copy of this document has been archived.  Since they also prepare results for the annual report, as Enron continues to evolve and change, they would be fully aware of any changes.  </w:t>
      </w:r>
      <w:r>
        <w:br w:type="page"/>
      </w:r>
    </w:p>
    <w:p>
      <w:pPr>
        <w:pStyle w:val="BodyTextIndent"/>
        <w:jc w:val="center"/>
        <w:rPr/>
      </w:pPr>
      <w:r>
        <w:rPr/>
        <w:t>VOLUMETRIC RISK</w:t>
      </w:r>
    </w:p>
    <w:p>
      <w:pPr>
        <w:pStyle w:val="BodyText"/>
        <w:spacing w:lineRule="auto" w:line="480"/>
        <w:ind w:firstLine="720" w:end="0"/>
        <w:rPr/>
      </w:pPr>
      <w:r>
        <w:rPr/>
        <w:t xml:space="preserve">Volumetric risk was considered first as it seemed to be the easiest place to start.  Initially it was assumed that all volumetric exposures across Enron should be reported somewhere, even if the information is not aggregated or systematically reported.  This assumption was not correct.  Although there is a Daily Position Report (DPR), most of the information is for the trading portfolio, and is incomplete.  That is, for certain business units, the numbers reported are not the same as the numbers contained in their proprietary databases.  Only a subset of their exposure is reported.  More will be said about this later.  </w:t>
      </w:r>
    </w:p>
    <w:p>
      <w:pPr>
        <w:pStyle w:val="BodyText"/>
        <w:spacing w:lineRule="auto" w:line="480"/>
        <w:ind w:firstLine="720" w:end="0"/>
        <w:rPr/>
      </w:pPr>
      <w:r>
        <w:rPr/>
        <w:t>The volumetric effort started on two fronts.  The first was the understanding of the VaR system, and the other was Investor Relations.  The VaR system was an obvious place to begin as traded positions must be known before any type of VaR statistic can be calculated.  Secondly, the quarterly press releases for Enron contain certain volumetric information.  Karen Denne in Investor Relations provided some initial information, and over the next week the source of the numbers was determined.  The information flow for such numbers contained in Enron’s press releases is shown in Figure 1.  It is correct as of December 1999.</w:t>
      </w:r>
      <w:r>
        <w:br w:type="page"/>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lang w:val="en-CA"/>
        </w:rPr>
      </w:pPr>
      <w:r>
        <w:rPr>
          <w:sz w:val="24"/>
          <w:lang w:val="en-CA"/>
        </w:rPr>
      </w:r>
      <w:r>
        <mc:AlternateContent>
          <mc:Choice Requires="wps">
            <w:drawing>
              <wp:anchor behindDoc="0" distT="0" distB="0" distL="114935" distR="114935" simplePos="0" locked="0" layoutInCell="1" allowOverlap="1" relativeHeight="62">
                <wp:simplePos x="0" y="0"/>
                <wp:positionH relativeFrom="column">
                  <wp:posOffset>2144395</wp:posOffset>
                </wp:positionH>
                <wp:positionV relativeFrom="paragraph">
                  <wp:posOffset>41275</wp:posOffset>
                </wp:positionV>
                <wp:extent cx="1289050" cy="466090"/>
                <wp:effectExtent l="0" t="0" r="0" b="0"/>
                <wp:wrapNone/>
                <wp:docPr id="1" name="Frame1"/>
                <a:graphic xmlns:a="http://schemas.openxmlformats.org/drawingml/2006/main">
                  <a:graphicData uri="http://schemas.microsoft.com/office/word/2010/wordprocessingShape">
                    <wps:wsp>
                      <wps:cNvSpPr txBox="1"/>
                      <wps:spPr>
                        <a:xfrm>
                          <a:off x="0" y="0"/>
                          <a:ext cx="1289050" cy="466090"/>
                        </a:xfrm>
                        <a:prstGeom prst="rect"/>
                        <a:solidFill>
                          <a:srgbClr val="FFFFFF"/>
                        </a:solidFill>
                        <a:ln w="9525">
                          <a:solidFill>
                            <a:srgbClr val="000000"/>
                          </a:solidFill>
                        </a:ln>
                      </wps:spPr>
                      <wps:txbx>
                        <w:txbxContent>
                          <w:p>
                            <w:pPr>
                              <w:pStyle w:val="Normal"/>
                              <w:jc w:val="center"/>
                              <w:rPr/>
                            </w:pPr>
                            <w:r>
                              <w:rPr/>
                              <w:t>Karen Denne</w:t>
                            </w:r>
                          </w:p>
                          <w:p>
                            <w:pPr>
                              <w:pStyle w:val="Normal"/>
                              <w:jc w:val="center"/>
                              <w:rPr/>
                            </w:pPr>
                            <w:r>
                              <w:rPr/>
                              <w:t>(Investor Relations)</w:t>
                            </w:r>
                          </w:p>
                        </w:txbxContent>
                      </wps:txbx>
                      <wps:bodyPr anchor="t" lIns="91440" tIns="45720" rIns="91440" bIns="45720">
                        <a:noAutofit/>
                      </wps:bodyPr>
                    </wps:wsp>
                  </a:graphicData>
                </a:graphic>
              </wp:anchor>
            </w:drawing>
          </mc:Choice>
          <mc:Fallback>
            <w:pict>
              <v:rect fillcolor="#FFFFFF" strokecolor="#000000" strokeweight="0pt" style="position:absolute;rotation:-0;width:101.5pt;height:36.7pt;mso-wrap-distance-left:9.05pt;mso-wrap-distance-right:9.05pt;mso-wrap-distance-top:0pt;mso-wrap-distance-bottom:0pt;margin-top:3.25pt;mso-position-vertical-relative:text;margin-left:168.85pt;mso-position-horizontal-relative:text">
                <v:textbox>
                  <w:txbxContent>
                    <w:p>
                      <w:pPr>
                        <w:pStyle w:val="Normal"/>
                        <w:jc w:val="center"/>
                        <w:rPr/>
                      </w:pPr>
                      <w:r>
                        <w:rPr/>
                        <w:t>Karen Denne</w:t>
                      </w:r>
                    </w:p>
                    <w:p>
                      <w:pPr>
                        <w:pStyle w:val="Normal"/>
                        <w:jc w:val="center"/>
                        <w:rPr/>
                      </w:pPr>
                      <w:r>
                        <w:rPr/>
                        <w:t>(Investor Relations)</w:t>
                      </w:r>
                    </w:p>
                  </w:txbxContent>
                </v:textbox>
                <w10:wrap type="none"/>
              </v:rect>
            </w:pict>
          </mc:Fallback>
        </mc:AlternateContent>
      </w:r>
    </w:p>
    <w:p>
      <w:pPr>
        <w:pStyle w:val="Normal"/>
        <w:rPr>
          <w:sz w:val="24"/>
        </w:rPr>
      </w:pPr>
      <w:r>
        <w:rPr>
          <w:sz w:val="24"/>
        </w:rPr>
      </w:r>
    </w:p>
    <w:p>
      <w:pPr>
        <w:pStyle w:val="Normal"/>
        <w:rPr>
          <w:sz w:val="24"/>
          <w:lang w:val="en-CA"/>
        </w:rPr>
      </w:pPr>
      <w:r>
        <w:rPr>
          <w:sz w:val="24"/>
          <w:lang w:val="en-CA"/>
        </w:rPr>
        <mc:AlternateContent>
          <mc:Choice Requires="wps">
            <w:drawing>
              <wp:anchor behindDoc="0" distT="0" distB="0" distL="114935" distR="114935" simplePos="0" locked="0" layoutInCell="1" allowOverlap="1" relativeHeight="73">
                <wp:simplePos x="0" y="0"/>
                <wp:positionH relativeFrom="column">
                  <wp:posOffset>2788920</wp:posOffset>
                </wp:positionH>
                <wp:positionV relativeFrom="paragraph">
                  <wp:posOffset>160020</wp:posOffset>
                </wp:positionV>
                <wp:extent cx="0" cy="182880"/>
                <wp:effectExtent l="38100" t="0" r="38100" b="0"/>
                <wp:wrapNone/>
                <wp:docPr id="2" name=""/>
                <a:graphic xmlns:a="http://schemas.openxmlformats.org/drawingml/2006/main">
                  <a:graphicData uri="http://schemas.microsoft.com/office/word/2010/wordprocessingShape">
                    <wps:wsp>
                      <wps:cNvSpPr/>
                      <wps:spPr>
                        <a:xfrm>
                          <a:off x="0" y="0"/>
                          <a:ext cx="0" cy="182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19.6pt,12.6pt" to="219.6pt,26.9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rPr>
          <w:sz w:val="24"/>
          <w:lang w:val="en-CA"/>
        </w:rPr>
      </w:pPr>
      <w:r>
        <w:rPr>
          <w:sz w:val="24"/>
          <w:lang w:val="en-CA"/>
        </w:rPr>
      </w:r>
      <w:r>
        <mc:AlternateContent>
          <mc:Choice Requires="wps">
            <w:drawing>
              <wp:anchor behindDoc="0" distT="0" distB="0" distL="114935" distR="114935" simplePos="0" locked="0" layoutInCell="1" allowOverlap="1" relativeHeight="63">
                <wp:simplePos x="0" y="0"/>
                <wp:positionH relativeFrom="column">
                  <wp:posOffset>2144395</wp:posOffset>
                </wp:positionH>
                <wp:positionV relativeFrom="paragraph">
                  <wp:posOffset>155575</wp:posOffset>
                </wp:positionV>
                <wp:extent cx="1289050" cy="283210"/>
                <wp:effectExtent l="0" t="0" r="0" b="0"/>
                <wp:wrapNone/>
                <wp:docPr id="3" name="Frame2"/>
                <a:graphic xmlns:a="http://schemas.openxmlformats.org/drawingml/2006/main">
                  <a:graphicData uri="http://schemas.microsoft.com/office/word/2010/wordprocessingShape">
                    <wps:wsp>
                      <wps:cNvSpPr txBox="1"/>
                      <wps:spPr>
                        <a:xfrm>
                          <a:off x="0" y="0"/>
                          <a:ext cx="1289050" cy="283210"/>
                        </a:xfrm>
                        <a:prstGeom prst="rect"/>
                        <a:solidFill>
                          <a:srgbClr val="FFFFFF"/>
                        </a:solidFill>
                        <a:ln w="9525">
                          <a:solidFill>
                            <a:srgbClr val="000000"/>
                          </a:solidFill>
                        </a:ln>
                      </wps:spPr>
                      <wps:txbx>
                        <w:txbxContent>
                          <w:p>
                            <w:pPr>
                              <w:pStyle w:val="Normal"/>
                              <w:jc w:val="center"/>
                              <w:rPr/>
                            </w:pPr>
                            <w:r>
                              <w:rPr/>
                              <w:t>Katherine Corbally</w:t>
                            </w:r>
                          </w:p>
                        </w:txbxContent>
                      </wps:txbx>
                      <wps:bodyPr anchor="t" lIns="91440" tIns="45720" rIns="91440" bIns="45720">
                        <a:noAutofit/>
                      </wps:bodyPr>
                    </wps:wsp>
                  </a:graphicData>
                </a:graphic>
              </wp:anchor>
            </w:drawing>
          </mc:Choice>
          <mc:Fallback>
            <w:pict>
              <v:rect fillcolor="#FFFFFF" strokecolor="#000000" strokeweight="0pt" style="position:absolute;rotation:-0;width:101.5pt;height:22.3pt;mso-wrap-distance-left:9.05pt;mso-wrap-distance-right:9.05pt;mso-wrap-distance-top:0pt;mso-wrap-distance-bottom:0pt;margin-top:12.25pt;mso-position-vertical-relative:text;margin-left:168.85pt;mso-position-horizontal-relative:text">
                <v:textbox>
                  <w:txbxContent>
                    <w:p>
                      <w:pPr>
                        <w:pStyle w:val="Normal"/>
                        <w:jc w:val="center"/>
                        <w:rPr/>
                      </w:pPr>
                      <w:r>
                        <w:rPr/>
                        <w:t>Katherine Corbally</w:t>
                      </w:r>
                    </w:p>
                  </w:txbxContent>
                </v:textbox>
                <w10:wrap type="none"/>
              </v:rect>
            </w:pict>
          </mc:Fallback>
        </mc:AlternateContent>
      </w:r>
    </w:p>
    <w:p>
      <w:pPr>
        <w:pStyle w:val="Normal"/>
        <w:rPr>
          <w:sz w:val="24"/>
        </w:rPr>
      </w:pPr>
      <w:r>
        <w:rPr>
          <w:sz w:val="24"/>
        </w:rPr>
      </w:r>
    </w:p>
    <w:p>
      <w:pPr>
        <w:pStyle w:val="Normal"/>
        <w:rPr>
          <w:sz w:val="24"/>
          <w:lang w:val="en-CA"/>
        </w:rPr>
      </w:pPr>
      <w:r>
        <w:rPr>
          <w:sz w:val="24"/>
          <w:lang w:val="en-CA"/>
        </w:rPr>
        <mc:AlternateContent>
          <mc:Choice Requires="wps">
            <w:drawing>
              <wp:anchor behindDoc="0" distT="0" distB="0" distL="114935" distR="114935" simplePos="0" locked="0" layoutInCell="1" allowOverlap="1" relativeHeight="74">
                <wp:simplePos x="0" y="0"/>
                <wp:positionH relativeFrom="column">
                  <wp:posOffset>2788920</wp:posOffset>
                </wp:positionH>
                <wp:positionV relativeFrom="paragraph">
                  <wp:posOffset>92075</wp:posOffset>
                </wp:positionV>
                <wp:extent cx="0" cy="182880"/>
                <wp:effectExtent l="38100" t="0" r="38100" b="0"/>
                <wp:wrapNone/>
                <wp:docPr id="4" name=""/>
                <a:graphic xmlns:a="http://schemas.openxmlformats.org/drawingml/2006/main">
                  <a:graphicData uri="http://schemas.microsoft.com/office/word/2010/wordprocessingShape">
                    <wps:wsp>
                      <wps:cNvSpPr/>
                      <wps:spPr>
                        <a:xfrm>
                          <a:off x="0" y="0"/>
                          <a:ext cx="0" cy="182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19.6pt,7.25pt" to="219.6pt,21.6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rPr>
          <w:sz w:val="24"/>
          <w:lang w:val="en-CA"/>
        </w:rPr>
      </w:pPr>
      <w:r>
        <w:rPr>
          <w:sz w:val="24"/>
          <w:lang w:val="en-CA"/>
        </w:rPr>
      </w:r>
      <w:r>
        <mc:AlternateContent>
          <mc:Choice Requires="wps">
            <w:drawing>
              <wp:anchor behindDoc="0" distT="0" distB="0" distL="114935" distR="114935" simplePos="0" locked="0" layoutInCell="1" allowOverlap="1" relativeHeight="64">
                <wp:simplePos x="0" y="0"/>
                <wp:positionH relativeFrom="column">
                  <wp:posOffset>2144395</wp:posOffset>
                </wp:positionH>
                <wp:positionV relativeFrom="paragraph">
                  <wp:posOffset>87630</wp:posOffset>
                </wp:positionV>
                <wp:extent cx="1289050" cy="283210"/>
                <wp:effectExtent l="0" t="0" r="0" b="0"/>
                <wp:wrapNone/>
                <wp:docPr id="5" name="Frame3"/>
                <a:graphic xmlns:a="http://schemas.openxmlformats.org/drawingml/2006/main">
                  <a:graphicData uri="http://schemas.microsoft.com/office/word/2010/wordprocessingShape">
                    <wps:wsp>
                      <wps:cNvSpPr txBox="1"/>
                      <wps:spPr>
                        <a:xfrm>
                          <a:off x="0" y="0"/>
                          <a:ext cx="1289050" cy="283210"/>
                        </a:xfrm>
                        <a:prstGeom prst="rect"/>
                        <a:solidFill>
                          <a:srgbClr val="FFFFFF"/>
                        </a:solidFill>
                        <a:ln w="9525">
                          <a:solidFill>
                            <a:srgbClr val="000000"/>
                          </a:solidFill>
                        </a:ln>
                      </wps:spPr>
                      <wps:txbx>
                        <w:txbxContent>
                          <w:p>
                            <w:pPr>
                              <w:pStyle w:val="Normal"/>
                              <w:jc w:val="center"/>
                              <w:rPr/>
                            </w:pPr>
                            <w:r>
                              <w:rPr/>
                              <w:t>Jan Johnson</w:t>
                            </w:r>
                          </w:p>
                        </w:txbxContent>
                      </wps:txbx>
                      <wps:bodyPr anchor="t" lIns="91440" tIns="45720" rIns="91440" bIns="45720">
                        <a:noAutofit/>
                      </wps:bodyPr>
                    </wps:wsp>
                  </a:graphicData>
                </a:graphic>
              </wp:anchor>
            </w:drawing>
          </mc:Choice>
          <mc:Fallback>
            <w:pict>
              <v:rect fillcolor="#FFFFFF" strokecolor="#000000" strokeweight="0pt" style="position:absolute;rotation:-0;width:101.5pt;height:22.3pt;mso-wrap-distance-left:9.05pt;mso-wrap-distance-right:9.05pt;mso-wrap-distance-top:0pt;mso-wrap-distance-bottom:0pt;margin-top:6.9pt;mso-position-vertical-relative:text;margin-left:168.85pt;mso-position-horizontal-relative:text">
                <v:textbox>
                  <w:txbxContent>
                    <w:p>
                      <w:pPr>
                        <w:pStyle w:val="Normal"/>
                        <w:jc w:val="center"/>
                        <w:rPr/>
                      </w:pPr>
                      <w:r>
                        <w:rPr/>
                        <w:t>Jan Johnson</w:t>
                      </w:r>
                    </w:p>
                  </w:txbxContent>
                </v:textbox>
                <w10:wrap type="none"/>
              </v:rect>
            </w:pict>
          </mc:Fallback>
        </mc:AlternateContent>
      </w:r>
    </w:p>
    <w:p>
      <w:pPr>
        <w:pStyle w:val="Normal"/>
        <w:rPr>
          <w:sz w:val="24"/>
        </w:rPr>
      </w:pPr>
      <w:r>
        <w:rPr>
          <w:sz w:val="24"/>
        </w:rPr>
      </w:r>
    </w:p>
    <w:p>
      <w:pPr>
        <w:pStyle w:val="Normal"/>
        <w:rPr>
          <w:sz w:val="24"/>
          <w:lang w:val="en-CA"/>
        </w:rPr>
      </w:pPr>
      <w:r>
        <w:rPr>
          <w:sz w:val="24"/>
          <w:lang w:val="en-CA"/>
        </w:rPr>
        <mc:AlternateContent>
          <mc:Choice Requires="wps">
            <w:drawing>
              <wp:anchor behindDoc="0" distT="0" distB="0" distL="114935" distR="114935" simplePos="0" locked="0" layoutInCell="1" allowOverlap="1" relativeHeight="75">
                <wp:simplePos x="0" y="0"/>
                <wp:positionH relativeFrom="column">
                  <wp:posOffset>2788920</wp:posOffset>
                </wp:positionH>
                <wp:positionV relativeFrom="paragraph">
                  <wp:posOffset>23495</wp:posOffset>
                </wp:positionV>
                <wp:extent cx="0" cy="182880"/>
                <wp:effectExtent l="38100" t="0" r="38100" b="0"/>
                <wp:wrapNone/>
                <wp:docPr id="6" name=""/>
                <a:graphic xmlns:a="http://schemas.openxmlformats.org/drawingml/2006/main">
                  <a:graphicData uri="http://schemas.microsoft.com/office/word/2010/wordprocessingShape">
                    <wps:wsp>
                      <wps:cNvSpPr/>
                      <wps:spPr>
                        <a:xfrm>
                          <a:off x="0" y="0"/>
                          <a:ext cx="0" cy="182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19.6pt,1.85pt" to="219.6pt,16.2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rPr>
          <w:sz w:val="24"/>
          <w:lang w:val="en-CA"/>
        </w:rPr>
      </w:pPr>
      <w:r>
        <w:rPr>
          <w:sz w:val="24"/>
          <w:lang w:val="en-CA"/>
        </w:rPr>
      </w:r>
      <w:r>
        <mc:AlternateContent>
          <mc:Choice Requires="wps">
            <w:drawing>
              <wp:anchor behindDoc="0" distT="0" distB="0" distL="114935" distR="114935" simplePos="0" locked="0" layoutInCell="1" allowOverlap="1" relativeHeight="65">
                <wp:simplePos x="0" y="0"/>
                <wp:positionH relativeFrom="column">
                  <wp:posOffset>2144395</wp:posOffset>
                </wp:positionH>
                <wp:positionV relativeFrom="paragraph">
                  <wp:posOffset>19050</wp:posOffset>
                </wp:positionV>
                <wp:extent cx="1289050" cy="283210"/>
                <wp:effectExtent l="0" t="0" r="0" b="0"/>
                <wp:wrapNone/>
                <wp:docPr id="7" name="Frame4"/>
                <a:graphic xmlns:a="http://schemas.openxmlformats.org/drawingml/2006/main">
                  <a:graphicData uri="http://schemas.microsoft.com/office/word/2010/wordprocessingShape">
                    <wps:wsp>
                      <wps:cNvSpPr txBox="1"/>
                      <wps:spPr>
                        <a:xfrm>
                          <a:off x="0" y="0"/>
                          <a:ext cx="1289050" cy="283210"/>
                        </a:xfrm>
                        <a:prstGeom prst="rect"/>
                        <a:solidFill>
                          <a:srgbClr val="FFFFFF"/>
                        </a:solidFill>
                        <a:ln w="9525">
                          <a:solidFill>
                            <a:srgbClr val="000000"/>
                          </a:solidFill>
                        </a:ln>
                      </wps:spPr>
                      <wps:txbx>
                        <w:txbxContent>
                          <w:p>
                            <w:pPr>
                              <w:pStyle w:val="Normal"/>
                              <w:jc w:val="center"/>
                              <w:rPr/>
                            </w:pPr>
                            <w:r>
                              <w:rPr/>
                              <w:t>Gary Peng</w:t>
                            </w:r>
                          </w:p>
                        </w:txbxContent>
                      </wps:txbx>
                      <wps:bodyPr anchor="t" lIns="91440" tIns="45720" rIns="91440" bIns="45720">
                        <a:noAutofit/>
                      </wps:bodyPr>
                    </wps:wsp>
                  </a:graphicData>
                </a:graphic>
              </wp:anchor>
            </w:drawing>
          </mc:Choice>
          <mc:Fallback>
            <w:pict>
              <v:rect fillcolor="#FFFFFF" strokecolor="#000000" strokeweight="0pt" style="position:absolute;rotation:-0;width:101.5pt;height:22.3pt;mso-wrap-distance-left:9.05pt;mso-wrap-distance-right:9.05pt;mso-wrap-distance-top:0pt;mso-wrap-distance-bottom:0pt;margin-top:1.5pt;mso-position-vertical-relative:text;margin-left:168.85pt;mso-position-horizontal-relative:text">
                <v:textbox>
                  <w:txbxContent>
                    <w:p>
                      <w:pPr>
                        <w:pStyle w:val="Normal"/>
                        <w:jc w:val="center"/>
                        <w:rPr/>
                      </w:pPr>
                      <w:r>
                        <w:rPr/>
                        <w:t>Gary Peng</w:t>
                      </w:r>
                    </w:p>
                  </w:txbxContent>
                </v:textbox>
                <w10:wrap type="none"/>
              </v:rect>
            </w:pict>
          </mc:Fallback>
        </mc:AlternateContent>
      </w:r>
    </w:p>
    <w:p>
      <w:pPr>
        <w:pStyle w:val="Normal"/>
        <w:rPr>
          <w:sz w:val="24"/>
          <w:lang w:val="en-CA"/>
        </w:rPr>
      </w:pPr>
      <w:r>
        <w:rPr>
          <w:sz w:val="24"/>
          <w:lang w:val="en-CA"/>
        </w:rPr>
        <mc:AlternateContent>
          <mc:Choice Requires="wps">
            <w:drawing>
              <wp:anchor behindDoc="0" distT="0" distB="0" distL="114935" distR="114935" simplePos="0" locked="0" layoutInCell="1" allowOverlap="1" relativeHeight="76">
                <wp:simplePos x="0" y="0"/>
                <wp:positionH relativeFrom="column">
                  <wp:posOffset>2788920</wp:posOffset>
                </wp:positionH>
                <wp:positionV relativeFrom="paragraph">
                  <wp:posOffset>130175</wp:posOffset>
                </wp:positionV>
                <wp:extent cx="0" cy="182880"/>
                <wp:effectExtent l="38100" t="0" r="38100" b="0"/>
                <wp:wrapNone/>
                <wp:docPr id="8" name=""/>
                <a:graphic xmlns:a="http://schemas.openxmlformats.org/drawingml/2006/main">
                  <a:graphicData uri="http://schemas.microsoft.com/office/word/2010/wordprocessingShape">
                    <wps:wsp>
                      <wps:cNvSpPr/>
                      <wps:spPr>
                        <a:xfrm>
                          <a:off x="0" y="0"/>
                          <a:ext cx="0" cy="182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19.6pt,10.25pt" to="219.6pt,24.6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rPr>
          <w:sz w:val="24"/>
          <w:lang w:val="en-CA"/>
        </w:rPr>
      </w:pPr>
      <w:r>
        <w:rPr>
          <w:sz w:val="24"/>
          <w:lang w:val="en-CA"/>
        </w:rPr>
      </w:r>
      <w:r>
        <mc:AlternateContent>
          <mc:Choice Requires="wps">
            <w:drawing>
              <wp:anchor behindDoc="0" distT="0" distB="0" distL="114935" distR="114935" simplePos="0" locked="0" layoutInCell="1" allowOverlap="1" relativeHeight="66">
                <wp:simplePos x="0" y="0"/>
                <wp:positionH relativeFrom="column">
                  <wp:posOffset>2144395</wp:posOffset>
                </wp:positionH>
                <wp:positionV relativeFrom="paragraph">
                  <wp:posOffset>125730</wp:posOffset>
                </wp:positionV>
                <wp:extent cx="1289050" cy="740410"/>
                <wp:effectExtent l="0" t="0" r="0" b="0"/>
                <wp:wrapNone/>
                <wp:docPr id="9" name="Frame5"/>
                <a:graphic xmlns:a="http://schemas.openxmlformats.org/drawingml/2006/main">
                  <a:graphicData uri="http://schemas.microsoft.com/office/word/2010/wordprocessingShape">
                    <wps:wsp>
                      <wps:cNvSpPr txBox="1"/>
                      <wps:spPr>
                        <a:xfrm>
                          <a:off x="0" y="0"/>
                          <a:ext cx="1289050" cy="740410"/>
                        </a:xfrm>
                        <a:prstGeom prst="rect"/>
                        <a:solidFill>
                          <a:srgbClr val="FFFFFF"/>
                        </a:solidFill>
                        <a:ln w="9525">
                          <a:solidFill>
                            <a:srgbClr val="000000"/>
                          </a:solidFill>
                        </a:ln>
                      </wps:spPr>
                      <wps:txbx>
                        <w:txbxContent>
                          <w:p>
                            <w:pPr>
                              <w:pStyle w:val="Normal"/>
                              <w:jc w:val="center"/>
                              <w:rPr/>
                            </w:pPr>
                            <w:r>
                              <w:rPr/>
                              <w:t>Sal Dominguez</w:t>
                            </w:r>
                          </w:p>
                          <w:p>
                            <w:pPr>
                              <w:pStyle w:val="Normal"/>
                              <w:jc w:val="center"/>
                              <w:rPr/>
                            </w:pPr>
                            <w:r>
                              <w:rPr/>
                              <w:t>Wholesale Energy Operations &amp; Services</w:t>
                            </w:r>
                          </w:p>
                          <w:p>
                            <w:pPr>
                              <w:pStyle w:val="Normal"/>
                              <w:jc w:val="center"/>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01.5pt;height:58.3pt;mso-wrap-distance-left:9.05pt;mso-wrap-distance-right:9.05pt;mso-wrap-distance-top:0pt;mso-wrap-distance-bottom:0pt;margin-top:9.9pt;mso-position-vertical-relative:text;margin-left:168.85pt;mso-position-horizontal-relative:text">
                <v:textbox>
                  <w:txbxContent>
                    <w:p>
                      <w:pPr>
                        <w:pStyle w:val="Normal"/>
                        <w:jc w:val="center"/>
                        <w:rPr/>
                      </w:pPr>
                      <w:r>
                        <w:rPr/>
                        <w:t>Sal Dominguez</w:t>
                      </w:r>
                    </w:p>
                    <w:p>
                      <w:pPr>
                        <w:pStyle w:val="Normal"/>
                        <w:jc w:val="center"/>
                        <w:rPr/>
                      </w:pPr>
                      <w:r>
                        <w:rPr/>
                        <w:t>Wholesale Energy Operations &amp; Services</w:t>
                      </w:r>
                    </w:p>
                    <w:p>
                      <w:pPr>
                        <w:pStyle w:val="Normal"/>
                        <w:jc w:val="center"/>
                        <w:rPr/>
                      </w:pPr>
                      <w:r>
                        <w:rPr/>
                      </w:r>
                    </w:p>
                  </w:txbxContent>
                </v:textbox>
                <w10:wrap type="none"/>
              </v:rect>
            </w:pict>
          </mc:Fallback>
        </mc:AlternateConten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lang w:val="en-CA"/>
        </w:rPr>
      </w:pPr>
      <w:r>
        <w:rPr>
          <w:sz w:val="24"/>
          <w:lang w:val="en-CA"/>
        </w:rPr>
        <mc:AlternateContent>
          <mc:Choice Requires="wps">
            <w:drawing>
              <wp:anchor behindDoc="0" distT="0" distB="0" distL="114935" distR="114935" simplePos="0" locked="0" layoutInCell="1" allowOverlap="1" relativeHeight="77">
                <wp:simplePos x="0" y="0"/>
                <wp:positionH relativeFrom="column">
                  <wp:posOffset>2057400</wp:posOffset>
                </wp:positionH>
                <wp:positionV relativeFrom="paragraph">
                  <wp:posOffset>168275</wp:posOffset>
                </wp:positionV>
                <wp:extent cx="548640" cy="91440"/>
                <wp:effectExtent l="0" t="5080" r="1270" b="25400"/>
                <wp:wrapNone/>
                <wp:docPr id="10" name=""/>
                <a:graphic xmlns:a="http://schemas.openxmlformats.org/drawingml/2006/main">
                  <a:graphicData uri="http://schemas.microsoft.com/office/word/2010/wordprocessingShape">
                    <wps:wsp>
                      <wps:cNvSpPr/>
                      <wps:spPr>
                        <a:xfrm flipH="1">
                          <a:off x="0" y="0"/>
                          <a:ext cx="548640" cy="914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62pt,13.25pt" to="205.15pt,20.4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8">
                <wp:simplePos x="0" y="0"/>
                <wp:positionH relativeFrom="column">
                  <wp:posOffset>685800</wp:posOffset>
                </wp:positionH>
                <wp:positionV relativeFrom="paragraph">
                  <wp:posOffset>168275</wp:posOffset>
                </wp:positionV>
                <wp:extent cx="1737360" cy="91440"/>
                <wp:effectExtent l="0" t="5080" r="635" b="34290"/>
                <wp:wrapNone/>
                <wp:docPr id="11" name=""/>
                <a:graphic xmlns:a="http://schemas.openxmlformats.org/drawingml/2006/main">
                  <a:graphicData uri="http://schemas.microsoft.com/office/word/2010/wordprocessingShape">
                    <wps:wsp>
                      <wps:cNvSpPr/>
                      <wps:spPr>
                        <a:xfrm flipH="1">
                          <a:off x="0" y="0"/>
                          <a:ext cx="1737360" cy="914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4pt,13.25pt" to="190.75pt,20.4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9">
                <wp:simplePos x="0" y="0"/>
                <wp:positionH relativeFrom="column">
                  <wp:posOffset>3063240</wp:posOffset>
                </wp:positionH>
                <wp:positionV relativeFrom="paragraph">
                  <wp:posOffset>168275</wp:posOffset>
                </wp:positionV>
                <wp:extent cx="548640" cy="91440"/>
                <wp:effectExtent l="1270" t="5080" r="0" b="25400"/>
                <wp:wrapNone/>
                <wp:docPr id="12" name=""/>
                <a:graphic xmlns:a="http://schemas.openxmlformats.org/drawingml/2006/main">
                  <a:graphicData uri="http://schemas.microsoft.com/office/word/2010/wordprocessingShape">
                    <wps:wsp>
                      <wps:cNvSpPr/>
                      <wps:spPr>
                        <a:xfrm>
                          <a:off x="0" y="0"/>
                          <a:ext cx="548640" cy="914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1.2pt,13.25pt" to="284.35pt,20.4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0">
                <wp:simplePos x="0" y="0"/>
                <wp:positionH relativeFrom="column">
                  <wp:posOffset>3246120</wp:posOffset>
                </wp:positionH>
                <wp:positionV relativeFrom="paragraph">
                  <wp:posOffset>168275</wp:posOffset>
                </wp:positionV>
                <wp:extent cx="1920240" cy="91440"/>
                <wp:effectExtent l="635" t="5080" r="0" b="34925"/>
                <wp:wrapNone/>
                <wp:docPr id="13" name=""/>
                <a:graphic xmlns:a="http://schemas.openxmlformats.org/drawingml/2006/main">
                  <a:graphicData uri="http://schemas.microsoft.com/office/word/2010/wordprocessingShape">
                    <wps:wsp>
                      <wps:cNvSpPr/>
                      <wps:spPr>
                        <a:xfrm>
                          <a:off x="0" y="0"/>
                          <a:ext cx="1920240" cy="914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55.6pt,13.25pt" to="406.75pt,20.4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rPr>
          <w:sz w:val="24"/>
          <w:lang w:val="en-CA"/>
        </w:rPr>
      </w:pPr>
      <w:r>
        <w:rPr>
          <w:sz w:val="24"/>
          <w:lang w:val="en-CA"/>
        </w:rPr>
      </w:r>
      <w:r>
        <mc:AlternateContent>
          <mc:Choice Requires="wps">
            <w:drawing>
              <wp:anchor behindDoc="0" distT="0" distB="0" distL="114935" distR="114935" simplePos="0" locked="0" layoutInCell="1" allowOverlap="1" relativeHeight="67">
                <wp:simplePos x="0" y="0"/>
                <wp:positionH relativeFrom="column">
                  <wp:posOffset>41275</wp:posOffset>
                </wp:positionH>
                <wp:positionV relativeFrom="paragraph">
                  <wp:posOffset>80010</wp:posOffset>
                </wp:positionV>
                <wp:extent cx="1289050" cy="557530"/>
                <wp:effectExtent l="0" t="0" r="0" b="0"/>
                <wp:wrapNone/>
                <wp:docPr id="14" name="Frame9"/>
                <a:graphic xmlns:a="http://schemas.openxmlformats.org/drawingml/2006/main">
                  <a:graphicData uri="http://schemas.microsoft.com/office/word/2010/wordprocessingShape">
                    <wps:wsp>
                      <wps:cNvSpPr txBox="1"/>
                      <wps:spPr>
                        <a:xfrm>
                          <a:off x="0" y="0"/>
                          <a:ext cx="1289050" cy="557530"/>
                        </a:xfrm>
                        <a:prstGeom prst="rect"/>
                        <a:solidFill>
                          <a:srgbClr val="FFFFFF"/>
                        </a:solidFill>
                        <a:ln w="9525">
                          <a:solidFill>
                            <a:srgbClr val="000000"/>
                          </a:solidFill>
                        </a:ln>
                      </wps:spPr>
                      <wps:txbx>
                        <w:txbxContent>
                          <w:p>
                            <w:pPr>
                              <w:pStyle w:val="Normal"/>
                              <w:jc w:val="center"/>
                              <w:rPr/>
                            </w:pPr>
                            <w:r>
                              <w:rPr/>
                              <w:t>ENA</w:t>
                            </w:r>
                          </w:p>
                          <w:p>
                            <w:pPr>
                              <w:pStyle w:val="Normal"/>
                              <w:jc w:val="center"/>
                              <w:rPr/>
                            </w:pPr>
                            <w:r>
                              <w:rPr/>
                              <w:t>Tracy Irvin</w:t>
                            </w:r>
                          </w:p>
                          <w:p>
                            <w:pPr>
                              <w:pStyle w:val="Normal"/>
                              <w:jc w:val="center"/>
                              <w:rPr/>
                            </w:pPr>
                            <w:r>
                              <w:rPr/>
                              <w:t>Troy Klussman</w:t>
                            </w:r>
                          </w:p>
                        </w:txbxContent>
                      </wps:txbx>
                      <wps:bodyPr anchor="t" lIns="91440" tIns="45720" rIns="91440" bIns="45720">
                        <a:noAutofit/>
                      </wps:bodyPr>
                    </wps:wsp>
                  </a:graphicData>
                </a:graphic>
              </wp:anchor>
            </w:drawing>
          </mc:Choice>
          <mc:Fallback>
            <w:pict>
              <v:rect fillcolor="#FFFFFF" strokecolor="#000000" strokeweight="0pt" style="position:absolute;rotation:-0;width:101.5pt;height:43.9pt;mso-wrap-distance-left:9.05pt;mso-wrap-distance-right:9.05pt;mso-wrap-distance-top:0pt;mso-wrap-distance-bottom:0pt;margin-top:6.3pt;mso-position-vertical-relative:text;margin-left:3.25pt;mso-position-horizontal-relative:text">
                <v:textbox>
                  <w:txbxContent>
                    <w:p>
                      <w:pPr>
                        <w:pStyle w:val="Normal"/>
                        <w:jc w:val="center"/>
                        <w:rPr/>
                      </w:pPr>
                      <w:r>
                        <w:rPr/>
                        <w:t>ENA</w:t>
                      </w:r>
                    </w:p>
                    <w:p>
                      <w:pPr>
                        <w:pStyle w:val="Normal"/>
                        <w:jc w:val="center"/>
                        <w:rPr/>
                      </w:pPr>
                      <w:r>
                        <w:rPr/>
                        <w:t>Tracy Irvin</w:t>
                      </w:r>
                    </w:p>
                    <w:p>
                      <w:pPr>
                        <w:pStyle w:val="Normal"/>
                        <w:jc w:val="center"/>
                        <w:rPr/>
                      </w:pPr>
                      <w:r>
                        <w:rPr/>
                        <w:t>Troy Klussman</w:t>
                      </w:r>
                    </w:p>
                  </w:txbxContent>
                </v:textbox>
                <w10:wrap type="none"/>
              </v:rect>
            </w:pict>
          </mc:Fallback>
        </mc:AlternateContent>
      </w:r>
      <w:r>
        <mc:AlternateContent>
          <mc:Choice Requires="wps">
            <w:drawing>
              <wp:anchor behindDoc="0" distT="0" distB="0" distL="114935" distR="114935" simplePos="0" locked="0" layoutInCell="1" allowOverlap="1" relativeHeight="68">
                <wp:simplePos x="0" y="0"/>
                <wp:positionH relativeFrom="column">
                  <wp:posOffset>1412875</wp:posOffset>
                </wp:positionH>
                <wp:positionV relativeFrom="paragraph">
                  <wp:posOffset>80010</wp:posOffset>
                </wp:positionV>
                <wp:extent cx="1289050" cy="557530"/>
                <wp:effectExtent l="0" t="0" r="0" b="0"/>
                <wp:wrapNone/>
                <wp:docPr id="15" name="Frame8"/>
                <a:graphic xmlns:a="http://schemas.openxmlformats.org/drawingml/2006/main">
                  <a:graphicData uri="http://schemas.microsoft.com/office/word/2010/wordprocessingShape">
                    <wps:wsp>
                      <wps:cNvSpPr txBox="1"/>
                      <wps:spPr>
                        <a:xfrm>
                          <a:off x="0" y="0"/>
                          <a:ext cx="1289050" cy="557530"/>
                        </a:xfrm>
                        <a:prstGeom prst="rect"/>
                        <a:solidFill>
                          <a:srgbClr val="FFFFFF"/>
                        </a:solidFill>
                        <a:ln w="9525">
                          <a:solidFill>
                            <a:srgbClr val="000000"/>
                          </a:solidFill>
                        </a:ln>
                      </wps:spPr>
                      <wps:txbx>
                        <w:txbxContent>
                          <w:p>
                            <w:pPr>
                              <w:pStyle w:val="Normal"/>
                              <w:jc w:val="center"/>
                              <w:rPr/>
                            </w:pPr>
                            <w:r>
                              <w:rPr/>
                              <w:t>EE</w:t>
                            </w:r>
                          </w:p>
                          <w:p>
                            <w:pPr>
                              <w:pStyle w:val="Normal"/>
                              <w:jc w:val="center"/>
                              <w:rPr/>
                            </w:pPr>
                            <w:r>
                              <w:rPr/>
                              <w:t>Toni Frisinia</w:t>
                            </w:r>
                          </w:p>
                          <w:p>
                            <w:pPr>
                              <w:pStyle w:val="Normal"/>
                              <w:jc w:val="center"/>
                              <w:rPr/>
                            </w:pPr>
                            <w:r>
                              <w:rPr/>
                              <w:t>Natale Buelenes</w:t>
                            </w:r>
                          </w:p>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01.5pt;height:43.9pt;mso-wrap-distance-left:9.05pt;mso-wrap-distance-right:9.05pt;mso-wrap-distance-top:0pt;mso-wrap-distance-bottom:0pt;margin-top:6.3pt;mso-position-vertical-relative:text;margin-left:111.25pt;mso-position-horizontal-relative:text">
                <v:textbox>
                  <w:txbxContent>
                    <w:p>
                      <w:pPr>
                        <w:pStyle w:val="Normal"/>
                        <w:jc w:val="center"/>
                        <w:rPr/>
                      </w:pPr>
                      <w:r>
                        <w:rPr/>
                        <w:t>EE</w:t>
                      </w:r>
                    </w:p>
                    <w:p>
                      <w:pPr>
                        <w:pStyle w:val="Normal"/>
                        <w:jc w:val="center"/>
                        <w:rPr/>
                      </w:pPr>
                      <w:r>
                        <w:rPr/>
                        <w:t>Toni Frisinia</w:t>
                      </w:r>
                    </w:p>
                    <w:p>
                      <w:pPr>
                        <w:pStyle w:val="Normal"/>
                        <w:jc w:val="center"/>
                        <w:rPr/>
                      </w:pPr>
                      <w:r>
                        <w:rPr/>
                        <w:t>Natale Buelenes</w:t>
                      </w:r>
                    </w:p>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69">
                <wp:simplePos x="0" y="0"/>
                <wp:positionH relativeFrom="column">
                  <wp:posOffset>2967355</wp:posOffset>
                </wp:positionH>
                <wp:positionV relativeFrom="paragraph">
                  <wp:posOffset>80010</wp:posOffset>
                </wp:positionV>
                <wp:extent cx="1289050" cy="466090"/>
                <wp:effectExtent l="0" t="0" r="0" b="0"/>
                <wp:wrapNone/>
                <wp:docPr id="16" name="Frame7"/>
                <a:graphic xmlns:a="http://schemas.openxmlformats.org/drawingml/2006/main">
                  <a:graphicData uri="http://schemas.microsoft.com/office/word/2010/wordprocessingShape">
                    <wps:wsp>
                      <wps:cNvSpPr txBox="1"/>
                      <wps:spPr>
                        <a:xfrm>
                          <a:off x="0" y="0"/>
                          <a:ext cx="1289050" cy="466090"/>
                        </a:xfrm>
                        <a:prstGeom prst="rect"/>
                        <a:solidFill>
                          <a:srgbClr val="FFFFFF"/>
                        </a:solidFill>
                        <a:ln w="9525">
                          <a:solidFill>
                            <a:srgbClr val="000000"/>
                          </a:solidFill>
                        </a:ln>
                      </wps:spPr>
                      <wps:txbx>
                        <w:txbxContent>
                          <w:p>
                            <w:pPr>
                              <w:pStyle w:val="Normal"/>
                              <w:jc w:val="center"/>
                              <w:rPr/>
                            </w:pPr>
                            <w:r>
                              <w:rPr/>
                              <w:t>EES</w:t>
                            </w:r>
                          </w:p>
                          <w:p>
                            <w:pPr>
                              <w:pStyle w:val="Normal"/>
                              <w:jc w:val="center"/>
                              <w:rPr/>
                            </w:pPr>
                            <w:r>
                              <w:rPr/>
                              <w:t>Paul Shoemaker</w:t>
                            </w:r>
                          </w:p>
                        </w:txbxContent>
                      </wps:txbx>
                      <wps:bodyPr anchor="t" lIns="91440" tIns="45720" rIns="91440" bIns="45720">
                        <a:noAutofit/>
                      </wps:bodyPr>
                    </wps:wsp>
                  </a:graphicData>
                </a:graphic>
              </wp:anchor>
            </w:drawing>
          </mc:Choice>
          <mc:Fallback>
            <w:pict>
              <v:rect fillcolor="#FFFFFF" strokecolor="#000000" strokeweight="0pt" style="position:absolute;rotation:-0;width:101.5pt;height:36.7pt;mso-wrap-distance-left:9.05pt;mso-wrap-distance-right:9.05pt;mso-wrap-distance-top:0pt;mso-wrap-distance-bottom:0pt;margin-top:6.3pt;mso-position-vertical-relative:text;margin-left:233.65pt;mso-position-horizontal-relative:text">
                <v:textbox>
                  <w:txbxContent>
                    <w:p>
                      <w:pPr>
                        <w:pStyle w:val="Normal"/>
                        <w:jc w:val="center"/>
                        <w:rPr/>
                      </w:pPr>
                      <w:r>
                        <w:rPr/>
                        <w:t>EES</w:t>
                      </w:r>
                    </w:p>
                    <w:p>
                      <w:pPr>
                        <w:pStyle w:val="Normal"/>
                        <w:jc w:val="center"/>
                        <w:rPr/>
                      </w:pPr>
                      <w:r>
                        <w:rPr/>
                        <w:t>Paul Shoemaker</w:t>
                      </w:r>
                    </w:p>
                  </w:txbxContent>
                </v:textbox>
                <w10:wrap type="none"/>
              </v:rect>
            </w:pict>
          </mc:Fallback>
        </mc:AlternateContent>
      </w:r>
      <w:r>
        <mc:AlternateContent>
          <mc:Choice Requires="wps">
            <w:drawing>
              <wp:anchor behindDoc="0" distT="0" distB="0" distL="114935" distR="114935" simplePos="0" locked="0" layoutInCell="1" allowOverlap="1" relativeHeight="70">
                <wp:simplePos x="0" y="0"/>
                <wp:positionH relativeFrom="column">
                  <wp:posOffset>4521835</wp:posOffset>
                </wp:positionH>
                <wp:positionV relativeFrom="paragraph">
                  <wp:posOffset>80010</wp:posOffset>
                </wp:positionV>
                <wp:extent cx="1289050" cy="466090"/>
                <wp:effectExtent l="0" t="0" r="0" b="0"/>
                <wp:wrapNone/>
                <wp:docPr id="17" name="Frame6"/>
                <a:graphic xmlns:a="http://schemas.openxmlformats.org/drawingml/2006/main">
                  <a:graphicData uri="http://schemas.microsoft.com/office/word/2010/wordprocessingShape">
                    <wps:wsp>
                      <wps:cNvSpPr txBox="1"/>
                      <wps:spPr>
                        <a:xfrm>
                          <a:off x="0" y="0"/>
                          <a:ext cx="1289050" cy="466090"/>
                        </a:xfrm>
                        <a:prstGeom prst="rect"/>
                        <a:solidFill>
                          <a:srgbClr val="FFFFFF"/>
                        </a:solidFill>
                        <a:ln w="9525">
                          <a:solidFill>
                            <a:srgbClr val="000000"/>
                          </a:solidFill>
                        </a:ln>
                      </wps:spPr>
                      <wps:txbx>
                        <w:txbxContent>
                          <w:p>
                            <w:pPr>
                              <w:pStyle w:val="Normal"/>
                              <w:jc w:val="center"/>
                              <w:rPr/>
                            </w:pPr>
                            <w:r>
                              <w:rPr/>
                              <w:t>EI</w:t>
                            </w:r>
                          </w:p>
                          <w:p>
                            <w:pPr>
                              <w:pStyle w:val="Normal"/>
                              <w:jc w:val="center"/>
                              <w:rPr/>
                            </w:pPr>
                            <w:r>
                              <w:rPr/>
                              <w:t>Rick Bittner</w:t>
                            </w:r>
                          </w:p>
                        </w:txbxContent>
                      </wps:txbx>
                      <wps:bodyPr anchor="t" lIns="91440" tIns="45720" rIns="91440" bIns="45720">
                        <a:noAutofit/>
                      </wps:bodyPr>
                    </wps:wsp>
                  </a:graphicData>
                </a:graphic>
              </wp:anchor>
            </w:drawing>
          </mc:Choice>
          <mc:Fallback>
            <w:pict>
              <v:rect fillcolor="#FFFFFF" strokecolor="#000000" strokeweight="0pt" style="position:absolute;rotation:-0;width:101.5pt;height:36.7pt;mso-wrap-distance-left:9.05pt;mso-wrap-distance-right:9.05pt;mso-wrap-distance-top:0pt;mso-wrap-distance-bottom:0pt;margin-top:6.3pt;mso-position-vertical-relative:text;margin-left:356.05pt;mso-position-horizontal-relative:text">
                <v:textbox>
                  <w:txbxContent>
                    <w:p>
                      <w:pPr>
                        <w:pStyle w:val="Normal"/>
                        <w:jc w:val="center"/>
                        <w:rPr/>
                      </w:pPr>
                      <w:r>
                        <w:rPr/>
                        <w:t>EI</w:t>
                      </w:r>
                    </w:p>
                    <w:p>
                      <w:pPr>
                        <w:pStyle w:val="Normal"/>
                        <w:jc w:val="center"/>
                        <w:rPr/>
                      </w:pPr>
                      <w:r>
                        <w:rPr/>
                        <w:t>Rick Bittner</w:t>
                      </w:r>
                    </w:p>
                  </w:txbxContent>
                </v:textbox>
                <w10:wrap type="none"/>
              </v:rect>
            </w:pict>
          </mc:Fallback>
        </mc:AlternateContent>
      </w:r>
    </w:p>
    <w:p>
      <w:pPr>
        <w:pStyle w:val="Normal"/>
        <w:rPr>
          <w:sz w:val="24"/>
        </w:rPr>
      </w:pPr>
      <w:r>
        <w:rPr>
          <w:sz w:val="24"/>
        </w:rPr>
      </w:r>
    </w:p>
    <w:p>
      <w:pPr>
        <w:pStyle w:val="Normal"/>
        <w:rPr>
          <w:sz w:val="24"/>
        </w:rPr>
      </w:pPr>
      <w:r>
        <w:rPr>
          <w:sz w:val="24"/>
        </w:rPr>
      </w:r>
    </w:p>
    <w:p>
      <w:pPr>
        <w:pStyle w:val="Normal"/>
        <w:rPr>
          <w:sz w:val="24"/>
          <w:lang w:val="en-CA"/>
        </w:rPr>
      </w:pPr>
      <w:r>
        <w:rPr>
          <w:sz w:val="24"/>
          <w:lang w:val="en-CA"/>
        </w:rPr>
        <mc:AlternateContent>
          <mc:Choice Requires="wps">
            <w:drawing>
              <wp:anchor behindDoc="0" distT="0" distB="0" distL="114935" distR="114935" simplePos="0" locked="0" layoutInCell="1" allowOverlap="1" relativeHeight="81">
                <wp:simplePos x="0" y="0"/>
                <wp:positionH relativeFrom="column">
                  <wp:posOffset>2788920</wp:posOffset>
                </wp:positionH>
                <wp:positionV relativeFrom="paragraph">
                  <wp:posOffset>15875</wp:posOffset>
                </wp:positionV>
                <wp:extent cx="731520" cy="548640"/>
                <wp:effectExtent l="0" t="3810" r="3175" b="0"/>
                <wp:wrapNone/>
                <wp:docPr id="18" name=""/>
                <a:graphic xmlns:a="http://schemas.openxmlformats.org/drawingml/2006/main">
                  <a:graphicData uri="http://schemas.microsoft.com/office/word/2010/wordprocessingShape">
                    <wps:wsp>
                      <wps:cNvSpPr/>
                      <wps:spPr>
                        <a:xfrm flipH="1">
                          <a:off x="0" y="0"/>
                          <a:ext cx="731520" cy="548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19.6pt,1.25pt" to="277.15pt,44.4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2">
                <wp:simplePos x="0" y="0"/>
                <wp:positionH relativeFrom="column">
                  <wp:posOffset>3703320</wp:posOffset>
                </wp:positionH>
                <wp:positionV relativeFrom="paragraph">
                  <wp:posOffset>15875</wp:posOffset>
                </wp:positionV>
                <wp:extent cx="457200" cy="548640"/>
                <wp:effectExtent l="3810" t="3175" r="0" b="0"/>
                <wp:wrapNone/>
                <wp:docPr id="19" name=""/>
                <a:graphic xmlns:a="http://schemas.openxmlformats.org/drawingml/2006/main">
                  <a:graphicData uri="http://schemas.microsoft.com/office/word/2010/wordprocessingShape">
                    <wps:wsp>
                      <wps:cNvSpPr/>
                      <wps:spPr>
                        <a:xfrm>
                          <a:off x="0" y="0"/>
                          <a:ext cx="457200" cy="548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91.6pt,1.25pt" to="327.55pt,44.4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rPr>
          <w:sz w:val="24"/>
        </w:rPr>
      </w:pPr>
      <w:r>
        <w:rPr>
          <w:sz w:val="24"/>
        </w:rPr>
      </w:r>
    </w:p>
    <w:p>
      <w:pPr>
        <w:pStyle w:val="Normal"/>
        <w:rPr>
          <w:sz w:val="24"/>
        </w:rPr>
      </w:pPr>
      <w:r>
        <w:rPr>
          <w:sz w:val="24"/>
        </w:rPr>
      </w:r>
    </w:p>
    <w:p>
      <w:pPr>
        <w:pStyle w:val="Normal"/>
        <w:rPr>
          <w:sz w:val="24"/>
          <w:lang w:val="en-CA"/>
        </w:rPr>
      </w:pPr>
      <w:r>
        <w:rPr>
          <w:sz w:val="24"/>
          <w:lang w:val="en-CA"/>
        </w:rPr>
      </w:r>
      <w:r>
        <mc:AlternateContent>
          <mc:Choice Requires="wps">
            <w:drawing>
              <wp:anchor behindDoc="0" distT="0" distB="0" distL="114935" distR="114935" simplePos="0" locked="0" layoutInCell="1" allowOverlap="1" relativeHeight="71">
                <wp:simplePos x="0" y="0"/>
                <wp:positionH relativeFrom="column">
                  <wp:posOffset>2144395</wp:posOffset>
                </wp:positionH>
                <wp:positionV relativeFrom="paragraph">
                  <wp:posOffset>34290</wp:posOffset>
                </wp:positionV>
                <wp:extent cx="1289050" cy="466090"/>
                <wp:effectExtent l="0" t="0" r="0" b="0"/>
                <wp:wrapNone/>
                <wp:docPr id="20" name="Frame11"/>
                <a:graphic xmlns:a="http://schemas.openxmlformats.org/drawingml/2006/main">
                  <a:graphicData uri="http://schemas.microsoft.com/office/word/2010/wordprocessingShape">
                    <wps:wsp>
                      <wps:cNvSpPr txBox="1"/>
                      <wps:spPr>
                        <a:xfrm>
                          <a:off x="0" y="0"/>
                          <a:ext cx="1289050" cy="466090"/>
                        </a:xfrm>
                        <a:prstGeom prst="rect"/>
                        <a:solidFill>
                          <a:srgbClr val="FFFFFF"/>
                        </a:solidFill>
                        <a:ln w="9525">
                          <a:solidFill>
                            <a:srgbClr val="000000"/>
                          </a:solidFill>
                        </a:ln>
                      </wps:spPr>
                      <wps:txbx>
                        <w:txbxContent>
                          <w:p>
                            <w:pPr>
                              <w:pStyle w:val="Normal"/>
                              <w:jc w:val="center"/>
                              <w:rPr/>
                            </w:pPr>
                            <w:r>
                              <w:rPr/>
                              <w:t>Gas</w:t>
                            </w:r>
                          </w:p>
                          <w:p>
                            <w:pPr>
                              <w:pStyle w:val="Normal"/>
                              <w:jc w:val="center"/>
                              <w:rPr/>
                            </w:pPr>
                            <w:r>
                              <w:rPr/>
                              <w:t>David Draper</w:t>
                            </w:r>
                          </w:p>
                        </w:txbxContent>
                      </wps:txbx>
                      <wps:bodyPr anchor="t" lIns="91440" tIns="45720" rIns="91440" bIns="45720">
                        <a:noAutofit/>
                      </wps:bodyPr>
                    </wps:wsp>
                  </a:graphicData>
                </a:graphic>
              </wp:anchor>
            </w:drawing>
          </mc:Choice>
          <mc:Fallback>
            <w:pict>
              <v:rect fillcolor="#FFFFFF" strokecolor="#000000" strokeweight="0pt" style="position:absolute;rotation:-0;width:101.5pt;height:36.7pt;mso-wrap-distance-left:9.05pt;mso-wrap-distance-right:9.05pt;mso-wrap-distance-top:0pt;mso-wrap-distance-bottom:0pt;margin-top:2.7pt;mso-position-vertical-relative:text;margin-left:168.85pt;mso-position-horizontal-relative:text">
                <v:textbox>
                  <w:txbxContent>
                    <w:p>
                      <w:pPr>
                        <w:pStyle w:val="Normal"/>
                        <w:jc w:val="center"/>
                        <w:rPr/>
                      </w:pPr>
                      <w:r>
                        <w:rPr/>
                        <w:t>Gas</w:t>
                      </w:r>
                    </w:p>
                    <w:p>
                      <w:pPr>
                        <w:pStyle w:val="Normal"/>
                        <w:jc w:val="center"/>
                        <w:rPr/>
                      </w:pPr>
                      <w:r>
                        <w:rPr/>
                        <w:t>David Draper</w:t>
                      </w:r>
                    </w:p>
                  </w:txbxContent>
                </v:textbox>
                <w10:wrap type="none"/>
              </v:rect>
            </w:pict>
          </mc:Fallback>
        </mc:AlternateContent>
      </w:r>
      <w:r>
        <mc:AlternateContent>
          <mc:Choice Requires="wps">
            <w:drawing>
              <wp:anchor behindDoc="0" distT="0" distB="0" distL="114935" distR="114935" simplePos="0" locked="0" layoutInCell="1" allowOverlap="1" relativeHeight="72">
                <wp:simplePos x="0" y="0"/>
                <wp:positionH relativeFrom="column">
                  <wp:posOffset>3515995</wp:posOffset>
                </wp:positionH>
                <wp:positionV relativeFrom="paragraph">
                  <wp:posOffset>34290</wp:posOffset>
                </wp:positionV>
                <wp:extent cx="1289050" cy="466090"/>
                <wp:effectExtent l="0" t="0" r="0" b="0"/>
                <wp:wrapNone/>
                <wp:docPr id="21" name="Frame10"/>
                <a:graphic xmlns:a="http://schemas.openxmlformats.org/drawingml/2006/main">
                  <a:graphicData uri="http://schemas.microsoft.com/office/word/2010/wordprocessingShape">
                    <wps:wsp>
                      <wps:cNvSpPr txBox="1"/>
                      <wps:spPr>
                        <a:xfrm>
                          <a:off x="0" y="0"/>
                          <a:ext cx="1289050" cy="466090"/>
                        </a:xfrm>
                        <a:prstGeom prst="rect"/>
                        <a:solidFill>
                          <a:srgbClr val="FFFFFF"/>
                        </a:solidFill>
                        <a:ln w="9525">
                          <a:solidFill>
                            <a:srgbClr val="000000"/>
                          </a:solidFill>
                        </a:ln>
                      </wps:spPr>
                      <wps:txbx>
                        <w:txbxContent>
                          <w:p>
                            <w:pPr>
                              <w:pStyle w:val="Normal"/>
                              <w:jc w:val="center"/>
                              <w:rPr/>
                            </w:pPr>
                            <w:r>
                              <w:rPr/>
                              <w:t>Power</w:t>
                            </w:r>
                          </w:p>
                          <w:p>
                            <w:pPr>
                              <w:pStyle w:val="Normal"/>
                              <w:jc w:val="center"/>
                              <w:rPr/>
                            </w:pPr>
                            <w:r>
                              <w:rPr/>
                              <w:t>Derenda Plunkett</w:t>
                            </w:r>
                          </w:p>
                        </w:txbxContent>
                      </wps:txbx>
                      <wps:bodyPr anchor="t" lIns="91440" tIns="45720" rIns="91440" bIns="45720">
                        <a:noAutofit/>
                      </wps:bodyPr>
                    </wps:wsp>
                  </a:graphicData>
                </a:graphic>
              </wp:anchor>
            </w:drawing>
          </mc:Choice>
          <mc:Fallback>
            <w:pict>
              <v:rect fillcolor="#FFFFFF" strokecolor="#000000" strokeweight="0pt" style="position:absolute;rotation:-0;width:101.5pt;height:36.7pt;mso-wrap-distance-left:9.05pt;mso-wrap-distance-right:9.05pt;mso-wrap-distance-top:0pt;mso-wrap-distance-bottom:0pt;margin-top:2.7pt;mso-position-vertical-relative:text;margin-left:276.85pt;mso-position-horizontal-relative:text">
                <v:textbox>
                  <w:txbxContent>
                    <w:p>
                      <w:pPr>
                        <w:pStyle w:val="Normal"/>
                        <w:jc w:val="center"/>
                        <w:rPr/>
                      </w:pPr>
                      <w:r>
                        <w:rPr/>
                        <w:t>Power</w:t>
                      </w:r>
                    </w:p>
                    <w:p>
                      <w:pPr>
                        <w:pStyle w:val="Normal"/>
                        <w:jc w:val="center"/>
                        <w:rPr/>
                      </w:pPr>
                      <w:r>
                        <w:rPr/>
                        <w:t>Derenda Plunkett</w:t>
                      </w:r>
                    </w:p>
                  </w:txbxContent>
                </v:textbox>
                <w10:wrap type="none"/>
              </v:rect>
            </w:pict>
          </mc:Fallback>
        </mc:AlternateConten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Figure 1.  Flowchart for the volumetric information contained in Enron’s press releases.</w:t>
      </w:r>
      <w:r>
        <w:br w:type="page"/>
      </w:r>
    </w:p>
    <w:p>
      <w:pPr>
        <w:pStyle w:val="BodyTextIndent"/>
        <w:rPr/>
      </w:pPr>
      <w:r>
        <w:rPr/>
        <w:t>Certain individuals listed in Figure 1 provided some additional information.  Sentence fragments are representative of their quoted statement.</w:t>
      </w:r>
    </w:p>
    <w:p>
      <w:pPr>
        <w:pStyle w:val="Normal"/>
        <w:ind w:start="720" w:end="0"/>
        <w:rPr>
          <w:i/>
          <w:i/>
          <w:sz w:val="24"/>
        </w:rPr>
      </w:pPr>
      <w:r>
        <w:rPr>
          <w:i/>
          <w:sz w:val="24"/>
        </w:rPr>
      </w:r>
    </w:p>
    <w:p>
      <w:pPr>
        <w:pStyle w:val="Normal"/>
        <w:rPr/>
      </w:pPr>
      <w:r>
        <w:rPr>
          <w:i/>
          <w:sz w:val="24"/>
        </w:rPr>
        <w:t>Sal Dominguez</w:t>
      </w:r>
      <w:r>
        <w:rPr>
          <w:sz w:val="24"/>
        </w:rPr>
        <w:t xml:space="preserve">—Physical volumes represent what we sell.  Total electricity sales are calculated using a conversion factor.  </w:t>
      </w:r>
    </w:p>
    <w:p>
      <w:pPr>
        <w:pStyle w:val="Normal"/>
        <w:rPr>
          <w:sz w:val="24"/>
        </w:rPr>
      </w:pPr>
      <w:r>
        <w:rPr>
          <w:sz w:val="24"/>
        </w:rPr>
      </w:r>
    </w:p>
    <w:p>
      <w:pPr>
        <w:pStyle w:val="Normal"/>
        <w:rPr/>
      </w:pPr>
      <w:r>
        <w:rPr>
          <w:i/>
          <w:sz w:val="24"/>
        </w:rPr>
        <w:t>Tracey Irvin</w:t>
      </w:r>
      <w:r>
        <w:rPr>
          <w:sz w:val="24"/>
        </w:rPr>
        <w:t>—Physical volumes are sales volumes, not purchase volumes.  The sales volumes are pulled from EMRS, which is a database.</w:t>
      </w:r>
    </w:p>
    <w:p>
      <w:pPr>
        <w:pStyle w:val="Normal"/>
        <w:rPr>
          <w:sz w:val="24"/>
        </w:rPr>
      </w:pPr>
      <w:r>
        <w:rPr>
          <w:sz w:val="24"/>
        </w:rPr>
      </w:r>
    </w:p>
    <w:p>
      <w:pPr>
        <w:pStyle w:val="Normal"/>
        <w:rPr/>
      </w:pPr>
      <w:r>
        <w:rPr>
          <w:i/>
          <w:sz w:val="24"/>
        </w:rPr>
        <w:t>Troy Klussman</w:t>
      </w:r>
      <w:r>
        <w:rPr>
          <w:sz w:val="24"/>
        </w:rPr>
        <w:t>—Sales/purchase volumes are the same.  All ENA gas is bought from other gas marketers, and is done through a mixture of long term/short term contracts.  ENA owns no production wells.</w:t>
      </w:r>
    </w:p>
    <w:p>
      <w:pPr>
        <w:pStyle w:val="Normal"/>
        <w:rPr>
          <w:sz w:val="24"/>
        </w:rPr>
      </w:pPr>
      <w:r>
        <w:rPr>
          <w:sz w:val="24"/>
        </w:rPr>
      </w:r>
    </w:p>
    <w:p>
      <w:pPr>
        <w:pStyle w:val="Normal"/>
        <w:rPr/>
      </w:pPr>
      <w:r>
        <w:rPr>
          <w:i/>
          <w:sz w:val="24"/>
        </w:rPr>
        <w:t>Paul Shoemaker</w:t>
      </w:r>
      <w:r>
        <w:rPr>
          <w:sz w:val="24"/>
        </w:rPr>
        <w:t>—gets the numbers from the gas and power desks.</w:t>
      </w:r>
    </w:p>
    <w:p>
      <w:pPr>
        <w:pStyle w:val="Normal"/>
        <w:rPr>
          <w:sz w:val="24"/>
        </w:rPr>
      </w:pPr>
      <w:r>
        <w:rPr>
          <w:sz w:val="24"/>
        </w:rPr>
      </w:r>
    </w:p>
    <w:p>
      <w:pPr>
        <w:pStyle w:val="Normal"/>
        <w:rPr/>
      </w:pPr>
      <w:r>
        <w:rPr>
          <w:i/>
          <w:sz w:val="24"/>
        </w:rPr>
        <w:t>David Draper</w:t>
      </w:r>
      <w:r>
        <w:rPr>
          <w:sz w:val="24"/>
        </w:rPr>
        <w:t>—Gas desk: sales volume = purchase volume +/- some seasonal basis.  EES over-delivers to local distribution companies in the summer and under-delivers in the winter.  The number reported is determined from data and the results of a calculation.  The deals that make up his book total in the thousands.  EES owns no storage facilities.</w:t>
      </w:r>
    </w:p>
    <w:p>
      <w:pPr>
        <w:pStyle w:val="Normal"/>
        <w:rPr>
          <w:sz w:val="24"/>
        </w:rPr>
      </w:pPr>
      <w:r>
        <w:rPr>
          <w:sz w:val="24"/>
        </w:rPr>
      </w:r>
    </w:p>
    <w:p>
      <w:pPr>
        <w:pStyle w:val="Normal"/>
        <w:rPr/>
      </w:pPr>
      <w:r>
        <w:rPr>
          <w:i/>
          <w:sz w:val="24"/>
        </w:rPr>
        <w:t>Rick Bittner</w:t>
      </w:r>
      <w:r>
        <w:rPr>
          <w:sz w:val="24"/>
        </w:rPr>
        <w:t xml:space="preserve">—Sends out a schedule to the various business units that may or may not be completed in a timely manner.  The sales volumes for EI basically represent the sales volumes for Enron’s strategic assets. </w:t>
      </w:r>
    </w:p>
    <w:p>
      <w:pPr>
        <w:pStyle w:val="Normal"/>
        <w:rPr>
          <w:sz w:val="24"/>
        </w:rPr>
      </w:pPr>
      <w:r>
        <w:rPr>
          <w:sz w:val="24"/>
        </w:rPr>
      </w:r>
    </w:p>
    <w:p>
      <w:pPr>
        <w:pStyle w:val="Normal"/>
        <w:rPr/>
      </w:pPr>
      <w:r>
        <w:rPr>
          <w:i/>
          <w:sz w:val="24"/>
        </w:rPr>
        <w:t>Gary Peng</w:t>
      </w:r>
      <w:r>
        <w:rPr>
          <w:sz w:val="24"/>
        </w:rPr>
        <w:t>—The gas pipeline group does not include intrastate pipelines such as Houston pipeline company.  These assets are included in the wholesale group.  Transportation/Distribution numbers are obtained from the pipeline construction and planning group (Tracey Geoccone).</w:t>
      </w:r>
    </w:p>
    <w:p>
      <w:pPr>
        <w:pStyle w:val="Normal"/>
        <w:ind w:firstLine="720" w:end="0"/>
        <w:rPr>
          <w:sz w:val="24"/>
        </w:rPr>
      </w:pPr>
      <w:r>
        <w:rPr>
          <w:sz w:val="24"/>
        </w:rPr>
      </w:r>
    </w:p>
    <w:p>
      <w:pPr>
        <w:pStyle w:val="Normal"/>
        <w:spacing w:lineRule="auto" w:line="480"/>
        <w:ind w:firstLine="720" w:end="0"/>
        <w:rPr>
          <w:sz w:val="24"/>
        </w:rPr>
      </w:pPr>
      <w:r>
        <w:rPr>
          <w:sz w:val="24"/>
        </w:rPr>
        <w:t>After considerable investigation, we decided that most assets could be classified as merchant, strategic, or trading.  We assumed that all traded positions were accurately captured in the VaR system, and that we could extract information from the VaR databases when needed.  Lately, the VaR system has been bundled with the Credit Aggregation system to produce RisktRac.</w:t>
      </w:r>
    </w:p>
    <w:p>
      <w:pPr>
        <w:pStyle w:val="Normal"/>
        <w:spacing w:lineRule="auto" w:line="480"/>
        <w:ind w:firstLine="720" w:end="0"/>
        <w:rPr>
          <w:sz w:val="24"/>
        </w:rPr>
      </w:pPr>
      <w:r>
        <w:rPr>
          <w:sz w:val="24"/>
        </w:rPr>
        <w:t xml:space="preserve">At the time, most questions that were posed to the ERM team concerned certain elements in the merchant portfolio (such as Mariner), so we started the volumetric risk effort here.  </w:t>
      </w:r>
    </w:p>
    <w:p>
      <w:pPr>
        <w:pStyle w:val="Normal"/>
        <w:spacing w:lineRule="auto" w:line="480"/>
        <w:ind w:firstLine="720" w:end="0"/>
        <w:rPr>
          <w:sz w:val="24"/>
        </w:rPr>
      </w:pPr>
      <w:r>
        <w:rPr>
          <w:sz w:val="24"/>
        </w:rPr>
        <w:t>The volumetric risk for the ENA merchant portfolio is the aggregate implied commodity position for all the deals therein.  The most intuitive example is an equity investment in an Exploration and Production company.  In effect, the investor is long hydrocarbons.  However, determining the volumetric exposure may not be an easy exercise for several reasons.  First, Enron occasionally makes debt investments rather than equity.  It is not clear how a debt position translates into a commodity exposure.  Second, determining ownership information is quite challenging so that it is difficult to assess the correct percentage ownership, and hence the percentage of implied commodity position that belongs to Enron.  Third, should we care about reserves in the ground, or should we concern ourselves with production volumes?  On this last point, we decided to look at production volumes, and not concern ourselves too much with reserves in the ground, since it is the production volumes that are the major driver of earnings.</w:t>
      </w:r>
    </w:p>
    <w:p>
      <w:pPr>
        <w:pStyle w:val="Normal"/>
        <w:spacing w:lineRule="auto" w:line="480"/>
        <w:ind w:firstLine="720" w:end="0"/>
        <w:rPr/>
      </w:pPr>
      <w:r>
        <w:rPr>
          <w:sz w:val="24"/>
        </w:rPr>
        <w:t xml:space="preserve">We were able to loosely determine the ENA deal flow process.  Most ENA deals go through a process that attempts to model the risk embedded within the deal, as well as addressing various ways to hedge the risk.  Each deal will likely have a Deal Approval Sheet (DASH).  This sheet contains a brief description of the deal as well as some of the original risks and mitigation strategies.  Also, each deal will likely have a quantitative model, although locating a current version of the model </w:t>
      </w:r>
      <w:r>
        <w:rPr>
          <w:i/>
          <w:sz w:val="24"/>
        </w:rPr>
        <w:t>for every deal</w:t>
      </w:r>
      <w:r>
        <w:rPr>
          <w:sz w:val="24"/>
        </w:rPr>
        <w:t xml:space="preserve"> is not so easy.</w:t>
      </w:r>
    </w:p>
    <w:p>
      <w:pPr>
        <w:pStyle w:val="Normal"/>
        <w:spacing w:lineRule="auto" w:line="480"/>
        <w:ind w:firstLine="720" w:end="0"/>
        <w:rPr>
          <w:sz w:val="24"/>
        </w:rPr>
      </w:pPr>
      <w:r>
        <w:rPr>
          <w:sz w:val="24"/>
        </w:rPr>
        <w:t>Many of the deal models are contained in MAPS, the Merchant Asset Portfolio System.  This system was originally designed to keep track of all deals corporate-wide over $5M.  Most deals are modeled on a spreadsheet, and MAPS provides a way to aggregate information from each model.  Unfortunately, MAPS is scheduled to be decommissioned sometime in 2001.  More will be said about this later.  MAPS also includes a reference to the original deal approval sheet (DASH).  Two IT employees that provided much help in relation to MAPS are Mimi Topper and Christine Dinh.  Both have since left the company.  Maria LeBeau is currently the IT contact for MAPS, and we have obtained a copy of the users manual.  This manual has been archived.</w:t>
      </w:r>
    </w:p>
    <w:p>
      <w:pPr>
        <w:pStyle w:val="Normal"/>
        <w:spacing w:lineRule="auto" w:line="480"/>
        <w:ind w:firstLine="720" w:end="0"/>
        <w:rPr>
          <w:sz w:val="24"/>
        </w:rPr>
      </w:pPr>
      <w:r>
        <w:rPr>
          <w:sz w:val="24"/>
        </w:rPr>
        <w:t>Mark Ruane’s group performs independent deal valuations and provides a quarterly revaluation of the major deals in the Merchant Portfolio, as well as significant deals across all of Enron.  The spreadsheet models that he uses are not necessarily the same as the models developed by the deal teams or the ones that are stored in MAPS.  Cindy Hudler is an excellent contact within his group, and archives the models in a directory tree.  The files are located in the following location: O:\Ecm\Raap\$library.</w:t>
      </w:r>
    </w:p>
    <w:p>
      <w:pPr>
        <w:pStyle w:val="Normal"/>
        <w:spacing w:lineRule="auto" w:line="480"/>
        <w:ind w:firstLine="720" w:end="0"/>
        <w:rPr>
          <w:sz w:val="24"/>
        </w:rPr>
      </w:pPr>
      <w:r>
        <w:rPr>
          <w:sz w:val="24"/>
        </w:rPr>
        <w:t>The Merchant Portfolio Report (MPR) contains current deal value information, and is produced daily in conjunction with the Daily Position Report (DPR).  Andrea Reed was the portfolio manager for the year 2000, but may have moved on to other things.  She also oversees model development for new deals.  The MPR does not contain volumetric information, but it does contain the “market value” for different deals.  The market value for publicly traded companies comes from closing market prices, but the market value for privately held companies is an output of the underlying spreadsheet model, or is determined using alternative methodologies by Mark Ruane.  David Maxwell assembles the numbers that go into the MPR.</w:t>
      </w:r>
    </w:p>
    <w:p>
      <w:pPr>
        <w:pStyle w:val="Normal"/>
        <w:spacing w:lineRule="auto" w:line="480"/>
        <w:ind w:firstLine="720" w:end="0"/>
        <w:rPr>
          <w:sz w:val="24"/>
        </w:rPr>
      </w:pPr>
      <w:r>
        <w:rPr>
          <w:sz w:val="24"/>
        </w:rPr>
        <w:t>Husnain Mirza calculates the value at risk for the merchant portfolio.  He uses a basket of publicly traded stocks to model the price behavior of the private equity investments.</w:t>
      </w:r>
    </w:p>
    <w:p>
      <w:pPr>
        <w:pStyle w:val="Normal"/>
        <w:spacing w:lineRule="auto" w:line="480"/>
        <w:ind w:firstLine="720" w:end="0"/>
        <w:rPr>
          <w:sz w:val="24"/>
        </w:rPr>
      </w:pPr>
      <w:r>
        <w:rPr>
          <w:sz w:val="24"/>
        </w:rPr>
        <w:t xml:space="preserve">Rick Carson performs due diligence analysis for certain deals, and produces a book of snapshot reports for major ENA Investments.  The snapshots contain a brief history of each investment, the investment’s actual and expected financial performance, recent events that have affected the deal, and broadly categorizes the assets as performing, watch, troubled, or loss.  </w:t>
      </w:r>
    </w:p>
    <w:p>
      <w:pPr>
        <w:pStyle w:val="Normal"/>
        <w:spacing w:lineRule="auto" w:line="480"/>
        <w:ind w:firstLine="720" w:end="0"/>
        <w:rPr>
          <w:sz w:val="24"/>
        </w:rPr>
      </w:pPr>
      <w:r>
        <w:rPr>
          <w:sz w:val="24"/>
        </w:rPr>
        <w:t>Finally, for publicly traded companies, there are the 10Q and 10K filings with the SEC.  These documents frequently contain information about proven reserves and hydrocarbon production.  More will be said about this later.</w:t>
      </w:r>
    </w:p>
    <w:p>
      <w:pPr>
        <w:pStyle w:val="Normal"/>
        <w:spacing w:lineRule="auto" w:line="480"/>
        <w:ind w:firstLine="720" w:end="0"/>
        <w:rPr>
          <w:sz w:val="24"/>
        </w:rPr>
      </w:pPr>
      <w:r>
        <w:rPr>
          <w:sz w:val="24"/>
        </w:rPr>
        <w:t xml:space="preserve">Once again, we are concerned with identifying the implied volumetric exposure contained in this portfolio.  Since there are several sources of information, there exists the possibility of getting substantially different numbers depending on which group provides them.  After reviewing the different sources of information, we believed that the best source of volumetric information resides in the spreadsheet models built by Mark Ruane’s group.  There are several reasons for this.  </w:t>
      </w:r>
    </w:p>
    <w:p>
      <w:pPr>
        <w:pStyle w:val="Normal"/>
        <w:spacing w:lineRule="auto" w:line="480"/>
        <w:ind w:firstLine="720" w:end="0"/>
        <w:rPr>
          <w:sz w:val="24"/>
        </w:rPr>
      </w:pPr>
      <w:r>
        <w:rPr>
          <w:sz w:val="24"/>
        </w:rPr>
        <w:t xml:space="preserve">First, in many cases, the model includes a balance sheet and/or income statement.  It is possible to take an existing model, and, starting with the projected net income, trace back through the model to determine the assumptions and exposures that drive the deal value.  Most models take as input different commodity forward curves and volatilities.  Based upon this information and a few hard coded assumptions, different quantities such as IRR and the deal value may be estimated.  Since the numbers produced by Mark’s group are the “official” deal value, it is very important to use the same set of volumetric assumptions that he has used in his calculations.  If we had used a different set of numbers, then in principle, a new IRR for a given deal could be determined.  </w:t>
      </w:r>
    </w:p>
    <w:p>
      <w:pPr>
        <w:pStyle w:val="Normal"/>
        <w:spacing w:lineRule="auto" w:line="480"/>
        <w:ind w:firstLine="720" w:end="0"/>
        <w:rPr/>
      </w:pPr>
      <w:r>
        <w:rPr>
          <w:sz w:val="24"/>
        </w:rPr>
        <w:t xml:space="preserve">Second, the Excel environment is very convenient to use, and the data are largely already entered.  For publicly traded companies, it is possible to obtain 10K and 10Q reports from the SEC.  The documents contain volumetric information pertaining to production volumes, but we quickly realized that we would need to build a model for each deal, and since each deal is unique in a certain way, the task of doing so would be overwhelming.  Once again, we are not so much interested in historical volumes.  We are interested in the </w:t>
      </w:r>
      <w:r>
        <w:rPr>
          <w:i/>
          <w:sz w:val="24"/>
        </w:rPr>
        <w:t>future</w:t>
      </w:r>
      <w:r>
        <w:rPr>
          <w:sz w:val="24"/>
        </w:rPr>
        <w:t xml:space="preserve"> volumes.  It is not possible to develop a generic statistical model for an E&amp;P company that produces an estimate of the volume that is easily defendable.  </w:t>
      </w:r>
    </w:p>
    <w:p>
      <w:pPr>
        <w:pStyle w:val="Normal"/>
        <w:spacing w:lineRule="auto" w:line="480"/>
        <w:ind w:firstLine="720" w:end="0"/>
        <w:rPr>
          <w:sz w:val="24"/>
        </w:rPr>
      </w:pPr>
      <w:r>
        <w:rPr>
          <w:sz w:val="24"/>
        </w:rPr>
        <w:t xml:space="preserve">We took several spreadsheet models and traced through them line by line starting at the projected net income statement.  We determined the drivers of value and growth assumptions as well as the volumetric assumptions.  </w:t>
      </w:r>
    </w:p>
    <w:p>
      <w:pPr>
        <w:pStyle w:val="Normal"/>
        <w:spacing w:lineRule="auto" w:line="480"/>
        <w:ind w:firstLine="720" w:end="0"/>
        <w:rPr>
          <w:sz w:val="24"/>
        </w:rPr>
      </w:pPr>
      <w:r>
        <w:rPr>
          <w:sz w:val="24"/>
        </w:rPr>
        <w:t xml:space="preserve">We found that there were a number of complications.  First, there are many different deals in many different industries.  Therefore, there are multiple units of measurement for a given commodity, and multiple volumetric types.  For example, crude oil may be in metric tonnes or barrels, and production volumes may be PDP, PDNP, PUD, etc.  Second, we also found that occasionally the units on the spreadsheet were incorrect.  That is, the unit may be given as billions of barrels, when in fact it should be millions or thousands of barrels.  The correct unit may be determined from the cash flow statement by determining the unit dollar measurement ($MM, etc).  Third, we found that there was not a generic template for deals in a given sector or industry.  Evidently, model development is an ongoing process, and the models developed for deals a few years ago are significantly different than models developed for deals done last quarter.  </w:t>
      </w:r>
    </w:p>
    <w:p>
      <w:pPr>
        <w:pStyle w:val="Normal"/>
        <w:spacing w:lineRule="auto" w:line="480"/>
        <w:ind w:firstLine="720" w:end="0"/>
        <w:rPr>
          <w:sz w:val="24"/>
        </w:rPr>
      </w:pPr>
      <w:r>
        <w:rPr>
          <w:sz w:val="24"/>
        </w:rPr>
        <w:t xml:space="preserve">Lastly, we needed to define what is meant by volumetric exposure for every industry type.  Although this is intuitively obvious for an E&amp;P company, it is not so obvious for other industries.  For some industries, we decided upon a formula to determine the volumetric exposure.  That is, in a manufacturing process, the energy consumed in the process is the volumetric exposure to that commodity.  For pipelines, we decided to use system use gas.  Chris Sonneborn from the Gas Pipeline group was able to provide some useful heuristics.  </w:t>
      </w:r>
    </w:p>
    <w:p>
      <w:pPr>
        <w:pStyle w:val="Normal"/>
        <w:spacing w:lineRule="auto" w:line="480"/>
        <w:ind w:firstLine="720" w:end="0"/>
        <w:rPr>
          <w:sz w:val="24"/>
        </w:rPr>
      </w:pPr>
      <w:r>
        <w:rPr>
          <w:sz w:val="24"/>
        </w:rPr>
        <w:t xml:space="preserve">Although Mark’s group revalues a select group of deals each quarter, at times they completely rewrite the models rather than update an existing one.  A consequence of this is that model backtesting is not possible.  </w:t>
      </w:r>
    </w:p>
    <w:p>
      <w:pPr>
        <w:pStyle w:val="Normal"/>
        <w:spacing w:lineRule="auto" w:line="480"/>
        <w:ind w:firstLine="720" w:end="0"/>
        <w:rPr>
          <w:sz w:val="24"/>
        </w:rPr>
      </w:pPr>
      <w:r>
        <w:rPr>
          <w:sz w:val="24"/>
        </w:rPr>
        <w:t>Having found the data, we needed a way to pull it all together.  The approach must be extremely flexible and robust, and must be encompass all likely formats and commodity types.  At the time, we did not know all the deals, and did not know what types of production existed.  Furthermore, if the approach was not flexible, then it would be necessary at a future date to go back and implement a better approach, and there was no desire on our part to do the same work twice, as tracing through models is time consuming and tedious.</w:t>
      </w:r>
    </w:p>
    <w:p>
      <w:pPr>
        <w:pStyle w:val="Normal"/>
        <w:spacing w:lineRule="auto" w:line="480"/>
        <w:ind w:firstLine="720" w:end="0"/>
        <w:rPr>
          <w:sz w:val="24"/>
        </w:rPr>
      </w:pPr>
      <w:r>
        <w:rPr>
          <w:sz w:val="24"/>
        </w:rPr>
        <w:t>So, faced with such complexities, and the obvious need to aggregate the information, the following idea was proposed.  We could design and attach an extra worksheet (the Template) within each model, and set the cell references of the Template to the volumetric information contained elsewhere in the model.  Since each model is an Excel workbook, this process would be straightforward but tedious.  The Template would be range named and the model could then be attached to MAPS.  A query could be designed in MAPS that would go into each spreadsheet and extract the information from every Template, and then store the information in an Access database.  Once the data are in the database, code could be written to display the information any number of ways.  This idea was tested on 22 deals from the ENA merchant portfolio.  We also found that MAPS contains certain other fields, such as business unit, and the query was designed to extract this information as well with no additional effort on our part.</w:t>
      </w:r>
    </w:p>
    <w:p>
      <w:pPr>
        <w:pStyle w:val="Normal"/>
        <w:spacing w:lineRule="auto" w:line="480"/>
        <w:ind w:firstLine="720" w:end="0"/>
        <w:rPr>
          <w:sz w:val="24"/>
        </w:rPr>
      </w:pPr>
      <w:r>
        <w:rPr>
          <w:sz w:val="24"/>
        </w:rPr>
        <w:t xml:space="preserve">Figure 2 shows a generic Template.  Since the approach is very flexible, we could use the Template to extract other information contained in the model if desired.  So, if at a later date, we are interested in projected cashflows or net income, it would be easy to set one of the commodities to cash flow, and extract and aggregate the data.  </w:t>
      </w:r>
      <w:r>
        <w:br w:type="page"/>
      </w:r>
    </w:p>
    <w:p>
      <w:pPr>
        <w:pStyle w:val="Normal"/>
        <w:spacing w:lineRule="auto" w:line="480"/>
        <w:ind w:firstLine="720" w:end="0"/>
        <w:rPr>
          <w:sz w:val="24"/>
        </w:rPr>
      </w:pPr>
      <w:r>
        <w:rPr>
          <w:sz w:val="24"/>
        </w:rPr>
      </w:r>
    </w:p>
    <w:tbl>
      <w:tblPr>
        <w:tblW w:w="6708" w:type="dxa"/>
        <w:jc w:val="center"/>
        <w:tblInd w:w="0" w:type="dxa"/>
        <w:tblLayout w:type="fixed"/>
        <w:tblCellMar>
          <w:top w:w="0" w:type="dxa"/>
          <w:start w:w="30" w:type="dxa"/>
          <w:bottom w:w="0" w:type="dxa"/>
          <w:end w:w="30" w:type="dxa"/>
        </w:tblCellMar>
      </w:tblPr>
      <w:tblGrid>
        <w:gridCol w:w="1110"/>
        <w:gridCol w:w="918"/>
        <w:gridCol w:w="1332"/>
        <w:gridCol w:w="696"/>
        <w:gridCol w:w="540"/>
        <w:gridCol w:w="381"/>
        <w:gridCol w:w="285"/>
        <w:gridCol w:w="270"/>
        <w:gridCol w:w="255"/>
        <w:gridCol w:w="366"/>
        <w:gridCol w:w="318"/>
        <w:gridCol w:w="237"/>
      </w:tblGrid>
      <w:tr>
        <w:trPr>
          <w:trHeight w:val="249" w:hRule="atLeast"/>
        </w:trPr>
        <w:tc>
          <w:tcPr>
            <w:tcW w:w="2028" w:type="dxa"/>
            <w:gridSpan w:val="2"/>
            <w:tcBorders>
              <w:top w:val="single" w:sz="2" w:space="0" w:color="000000"/>
              <w:start w:val="single" w:sz="2" w:space="0" w:color="000000"/>
              <w:bottom w:val="single" w:sz="2" w:space="0" w:color="000000"/>
              <w:end w:val="single" w:sz="2" w:space="0" w:color="000000"/>
            </w:tcBorders>
          </w:tcPr>
          <w:p>
            <w:pPr>
              <w:pStyle w:val="Normal"/>
              <w:rPr>
                <w:rFonts w:ascii="Arial" w:hAnsi="Arial" w:cs="Arial"/>
                <w:b/>
                <w:color w:val="000000"/>
                <w:lang w:eastAsia="en-US"/>
              </w:rPr>
            </w:pPr>
            <w:r>
              <w:rPr>
                <w:rFonts w:cs="Arial" w:ascii="Arial" w:hAnsi="Arial"/>
                <w:b/>
                <w:color w:val="000000"/>
                <w:lang w:eastAsia="en-US"/>
              </w:rPr>
              <w:t>Production Type #1</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96"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4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8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55"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66"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18"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37"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9" w:hRule="atLeast"/>
        </w:trPr>
        <w:tc>
          <w:tcPr>
            <w:tcW w:w="111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(Comment)</w:t>
            </w:r>
          </w:p>
        </w:tc>
        <w:tc>
          <w:tcPr>
            <w:tcW w:w="918"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96"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4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8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55"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66"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18"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37"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9" w:hRule="atLeast"/>
        </w:trPr>
        <w:tc>
          <w:tcPr>
            <w:tcW w:w="11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8"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96"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206" w:type="dxa"/>
            <w:gridSpan w:val="3"/>
            <w:tcBorders>
              <w:top w:val="single" w:sz="2" w:space="0" w:color="000000"/>
              <w:start w:val="single" w:sz="2" w:space="0" w:color="000000"/>
              <w:bottom w:val="single" w:sz="2" w:space="0" w:color="000000"/>
            </w:tcBorders>
            <w:shd w:fill="0000FF" w:val="clear"/>
          </w:tcPr>
          <w:p>
            <w:pPr>
              <w:pStyle w:val="Normal"/>
              <w:jc w:val="center"/>
              <w:rPr>
                <w:rFonts w:ascii="Arial" w:hAnsi="Arial" w:cs="Arial"/>
                <w:color w:val="FFFFFF"/>
                <w:u w:val="single"/>
                <w:lang w:eastAsia="en-US"/>
              </w:rPr>
            </w:pPr>
            <w:r>
              <w:rPr>
                <w:rFonts w:cs="Arial" w:ascii="Arial" w:hAnsi="Arial"/>
                <w:color w:val="FFFFFF"/>
                <w:u w:val="single"/>
                <w:lang w:eastAsia="en-US"/>
              </w:rPr>
              <w:t>Time Period</w:t>
            </w:r>
          </w:p>
        </w:tc>
        <w:tc>
          <w:tcPr>
            <w:tcW w:w="0" w:type="dxa"/>
            <w:vMerge w:val="continue"/>
            <w:tcBorders>
              <w:top w:val="single" w:sz="2" w:space="0" w:color="000000"/>
              <w:bottom w:val="single" w:sz="2" w:space="0" w:color="000000"/>
            </w:tcBorders>
            <w:shd w:fill="0000FF" w:val="clear"/>
          </w:tcPr>
          <w:p>
            <w:pPr>
              <w:pStyle w:val="Normal"/>
              <w:snapToGrid w:val="false"/>
              <w:jc w:val="center"/>
              <w:rPr>
                <w:rFonts w:ascii="Arial" w:hAnsi="Arial" w:cs="Arial"/>
                <w:color w:val="FFFFFF"/>
                <w:u w:val="single"/>
                <w:lang w:eastAsia="en-US"/>
              </w:rPr>
            </w:pPr>
            <w:r>
              <w:rPr>
                <w:rFonts w:cs="Arial" w:ascii="Arial" w:hAnsi="Arial"/>
                <w:color w:val="FFFFFF"/>
                <w:u w:val="single"/>
                <w:lang w:eastAsia="en-US"/>
              </w:rPr>
            </w:r>
          </w:p>
        </w:tc>
        <w:tc>
          <w:tcPr>
            <w:tcW w:w="0" w:type="dxa"/>
            <w:vMerge w:val="continue"/>
            <w:tcBorders>
              <w:top w:val="single" w:sz="2" w:space="0" w:color="000000"/>
              <w:bottom w:val="single" w:sz="2" w:space="0" w:color="000000"/>
            </w:tcBorders>
            <w:shd w:fill="0000FF" w:val="clear"/>
          </w:tcPr>
          <w:p>
            <w:pPr>
              <w:pStyle w:val="Normal"/>
              <w:snapToGrid w:val="false"/>
              <w:jc w:val="center"/>
              <w:rPr>
                <w:rFonts w:ascii="Arial" w:hAnsi="Arial" w:cs="Arial"/>
                <w:color w:val="FFFFFF"/>
                <w:u w:val="single"/>
                <w:lang w:eastAsia="en-US"/>
              </w:rPr>
            </w:pPr>
            <w:r>
              <w:rPr>
                <w:rFonts w:cs="Arial" w:ascii="Arial" w:hAnsi="Arial"/>
                <w:color w:val="FFFFFF"/>
                <w:u w:val="single"/>
                <w:lang w:eastAsia="en-US"/>
              </w:rPr>
            </w:r>
          </w:p>
        </w:tc>
        <w:tc>
          <w:tcPr>
            <w:tcW w:w="270" w:type="dxa"/>
            <w:tcBorders>
              <w:top w:val="single" w:sz="2" w:space="0" w:color="000000"/>
              <w:bottom w:val="single" w:sz="2" w:space="0" w:color="000000"/>
            </w:tcBorders>
            <w:shd w:fill="0000FF" w:val="clear"/>
          </w:tcPr>
          <w:p>
            <w:pPr>
              <w:pStyle w:val="Normal"/>
              <w:snapToGrid w:val="false"/>
              <w:jc w:val="center"/>
              <w:rPr>
                <w:rFonts w:ascii="Arial" w:hAnsi="Arial" w:cs="Arial"/>
                <w:color w:val="FFFFFF"/>
                <w:u w:val="single"/>
                <w:lang w:eastAsia="en-US"/>
              </w:rPr>
            </w:pPr>
            <w:r>
              <w:rPr>
                <w:rFonts w:cs="Arial" w:ascii="Arial" w:hAnsi="Arial"/>
                <w:color w:val="FFFFFF"/>
                <w:u w:val="single"/>
                <w:lang w:eastAsia="en-US"/>
              </w:rPr>
            </w:r>
          </w:p>
        </w:tc>
        <w:tc>
          <w:tcPr>
            <w:tcW w:w="255" w:type="dxa"/>
            <w:tcBorders>
              <w:top w:val="single" w:sz="2" w:space="0" w:color="000000"/>
              <w:bottom w:val="single" w:sz="2" w:space="0" w:color="000000"/>
            </w:tcBorders>
            <w:shd w:fill="0000FF" w:val="clear"/>
          </w:tcPr>
          <w:p>
            <w:pPr>
              <w:pStyle w:val="Normal"/>
              <w:snapToGrid w:val="false"/>
              <w:jc w:val="center"/>
              <w:rPr>
                <w:rFonts w:ascii="Arial" w:hAnsi="Arial" w:cs="Arial"/>
                <w:color w:val="FFFFFF"/>
                <w:u w:val="single"/>
                <w:lang w:eastAsia="en-US"/>
              </w:rPr>
            </w:pPr>
            <w:r>
              <w:rPr>
                <w:rFonts w:cs="Arial" w:ascii="Arial" w:hAnsi="Arial"/>
                <w:color w:val="FFFFFF"/>
                <w:u w:val="single"/>
                <w:lang w:eastAsia="en-US"/>
              </w:rPr>
            </w:r>
          </w:p>
        </w:tc>
        <w:tc>
          <w:tcPr>
            <w:tcW w:w="366" w:type="dxa"/>
            <w:tcBorders>
              <w:top w:val="single" w:sz="2" w:space="0" w:color="000000"/>
              <w:bottom w:val="single" w:sz="2" w:space="0" w:color="000000"/>
            </w:tcBorders>
            <w:shd w:fill="0000FF" w:val="clear"/>
          </w:tcPr>
          <w:p>
            <w:pPr>
              <w:pStyle w:val="Normal"/>
              <w:snapToGrid w:val="false"/>
              <w:jc w:val="center"/>
              <w:rPr>
                <w:rFonts w:ascii="Arial" w:hAnsi="Arial" w:cs="Arial"/>
                <w:color w:val="FFFFFF"/>
                <w:u w:val="single"/>
                <w:lang w:eastAsia="en-US"/>
              </w:rPr>
            </w:pPr>
            <w:r>
              <w:rPr>
                <w:rFonts w:cs="Arial" w:ascii="Arial" w:hAnsi="Arial"/>
                <w:color w:val="FFFFFF"/>
                <w:u w:val="single"/>
                <w:lang w:eastAsia="en-US"/>
              </w:rPr>
            </w:r>
          </w:p>
        </w:tc>
        <w:tc>
          <w:tcPr>
            <w:tcW w:w="318" w:type="dxa"/>
            <w:tcBorders>
              <w:top w:val="single" w:sz="2" w:space="0" w:color="000000"/>
              <w:bottom w:val="single" w:sz="2" w:space="0" w:color="000000"/>
            </w:tcBorders>
            <w:shd w:fill="0000FF" w:val="clear"/>
          </w:tcPr>
          <w:p>
            <w:pPr>
              <w:pStyle w:val="Normal"/>
              <w:snapToGrid w:val="false"/>
              <w:jc w:val="center"/>
              <w:rPr>
                <w:rFonts w:ascii="Arial" w:hAnsi="Arial" w:cs="Arial"/>
                <w:color w:val="FFFFFF"/>
                <w:u w:val="single"/>
                <w:lang w:eastAsia="en-US"/>
              </w:rPr>
            </w:pPr>
            <w:r>
              <w:rPr>
                <w:rFonts w:cs="Arial" w:ascii="Arial" w:hAnsi="Arial"/>
                <w:color w:val="FFFFFF"/>
                <w:u w:val="single"/>
                <w:lang w:eastAsia="en-US"/>
              </w:rPr>
            </w:r>
          </w:p>
        </w:tc>
        <w:tc>
          <w:tcPr>
            <w:tcW w:w="237" w:type="dxa"/>
            <w:tcBorders>
              <w:top w:val="single" w:sz="2" w:space="0" w:color="000000"/>
              <w:bottom w:val="single" w:sz="2" w:space="0" w:color="000000"/>
              <w:end w:val="single" w:sz="2" w:space="0" w:color="000000"/>
            </w:tcBorders>
            <w:shd w:fill="0000FF" w:val="clear"/>
          </w:tcPr>
          <w:p>
            <w:pPr>
              <w:pStyle w:val="Normal"/>
              <w:snapToGrid w:val="false"/>
              <w:jc w:val="center"/>
              <w:rPr>
                <w:rFonts w:ascii="Arial" w:hAnsi="Arial" w:cs="Arial"/>
                <w:color w:val="FFFFFF"/>
                <w:u w:val="single"/>
                <w:lang w:eastAsia="en-US"/>
              </w:rPr>
            </w:pPr>
            <w:r>
              <w:rPr>
                <w:rFonts w:cs="Arial" w:ascii="Arial" w:hAnsi="Arial"/>
                <w:color w:val="FFFFFF"/>
                <w:u w:val="single"/>
                <w:lang w:eastAsia="en-US"/>
              </w:rPr>
            </w:r>
          </w:p>
        </w:tc>
      </w:tr>
      <w:tr>
        <w:trPr>
          <w:trHeight w:val="249" w:hRule="atLeast"/>
        </w:trPr>
        <w:tc>
          <w:tcPr>
            <w:tcW w:w="11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u w:val="single"/>
                <w:lang w:eastAsia="en-US"/>
              </w:rPr>
            </w:pPr>
            <w:r>
              <w:rPr>
                <w:rFonts w:cs="Arial" w:ascii="Arial" w:hAnsi="Arial"/>
                <w:color w:val="000000"/>
                <w:u w:val="single"/>
                <w:lang w:eastAsia="en-US"/>
              </w:rPr>
            </w:r>
          </w:p>
        </w:tc>
        <w:tc>
          <w:tcPr>
            <w:tcW w:w="2250" w:type="dxa"/>
            <w:gridSpan w:val="2"/>
            <w:tcBorders>
              <w:top w:val="single" w:sz="2" w:space="0" w:color="000000"/>
              <w:start w:val="single" w:sz="2" w:space="0" w:color="000000"/>
              <w:bottom w:val="single" w:sz="2" w:space="0" w:color="000000"/>
              <w:end w:val="single" w:sz="2" w:space="0" w:color="000000"/>
            </w:tcBorders>
            <w:shd w:fill="000000" w:val="clear"/>
          </w:tcPr>
          <w:p>
            <w:pPr>
              <w:pStyle w:val="Normal"/>
              <w:rPr>
                <w:rFonts w:ascii="Arial" w:hAnsi="Arial" w:cs="Arial"/>
                <w:color w:val="FFFFFF"/>
                <w:lang w:eastAsia="en-US"/>
              </w:rPr>
            </w:pPr>
            <w:r>
              <w:rPr>
                <w:rFonts w:cs="Arial" w:ascii="Arial" w:hAnsi="Arial"/>
                <w:color w:val="FFFFFF"/>
                <w:lang w:eastAsia="en-US"/>
              </w:rPr>
              <w:t>Commodity #1</w:t>
            </w:r>
          </w:p>
        </w:tc>
        <w:tc>
          <w:tcPr>
            <w:tcW w:w="0" w:type="dxa"/>
            <w:vMerge w:val="continue"/>
            <w:tcBorders>
              <w:top w:val="single" w:sz="2" w:space="0" w:color="000000"/>
              <w:start w:val="single" w:sz="2" w:space="0" w:color="000000"/>
              <w:bottom w:val="single" w:sz="2" w:space="0" w:color="000000"/>
              <w:end w:val="single" w:sz="2" w:space="0" w:color="000000"/>
            </w:tcBorders>
            <w:shd w:fill="000000" w:val="clear"/>
          </w:tcPr>
          <w:p>
            <w:pPr>
              <w:pStyle w:val="Normal"/>
              <w:snapToGrid w:val="false"/>
              <w:jc w:val="end"/>
              <w:rPr>
                <w:rFonts w:ascii="Arial" w:hAnsi="Arial" w:cs="Arial"/>
                <w:color w:val="FFFFFF"/>
                <w:lang w:eastAsia="en-US"/>
              </w:rPr>
            </w:pPr>
            <w:r>
              <w:rPr>
                <w:rFonts w:cs="Arial" w:ascii="Arial" w:hAnsi="Arial"/>
                <w:color w:val="FFFFFF"/>
                <w:lang w:eastAsia="en-US"/>
              </w:rPr>
            </w:r>
          </w:p>
        </w:tc>
        <w:tc>
          <w:tcPr>
            <w:tcW w:w="696"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4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8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85"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7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55"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66"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318"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37"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9" w:hRule="atLeast"/>
        </w:trPr>
        <w:tc>
          <w:tcPr>
            <w:tcW w:w="11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18"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28" w:type="dxa"/>
            <w:gridSpan w:val="2"/>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Category #1</w:t>
            </w:r>
          </w:p>
        </w:tc>
        <w:tc>
          <w:tcPr>
            <w:tcW w:w="0" w:type="dxa"/>
            <w:vMerge w:val="continue"/>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4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81"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8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7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5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66"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18"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37"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49" w:hRule="atLeast"/>
        </w:trPr>
        <w:tc>
          <w:tcPr>
            <w:tcW w:w="11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918"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332"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Category #2</w:t>
            </w:r>
          </w:p>
        </w:tc>
        <w:tc>
          <w:tcPr>
            <w:tcW w:w="696"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4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81"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8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7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5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66"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18"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37"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49" w:hRule="atLeast"/>
        </w:trPr>
        <w:tc>
          <w:tcPr>
            <w:tcW w:w="11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918"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332"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Category #3</w:t>
            </w:r>
          </w:p>
        </w:tc>
        <w:tc>
          <w:tcPr>
            <w:tcW w:w="696"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4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81"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8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7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5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66"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18"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37"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49" w:hRule="atLeast"/>
        </w:trPr>
        <w:tc>
          <w:tcPr>
            <w:tcW w:w="11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918"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332"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Category #4</w:t>
            </w:r>
          </w:p>
        </w:tc>
        <w:tc>
          <w:tcPr>
            <w:tcW w:w="696"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4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81"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8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7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5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66"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18"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37"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49" w:hRule="atLeast"/>
        </w:trPr>
        <w:tc>
          <w:tcPr>
            <w:tcW w:w="11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918"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332"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Category #5</w:t>
            </w:r>
          </w:p>
        </w:tc>
        <w:tc>
          <w:tcPr>
            <w:tcW w:w="696"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4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81"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8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7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5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66"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18"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37"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49" w:hRule="atLeast"/>
        </w:trPr>
        <w:tc>
          <w:tcPr>
            <w:tcW w:w="11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918"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96"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4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81"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8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7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5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66"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18"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37"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49" w:hRule="atLeast"/>
        </w:trPr>
        <w:tc>
          <w:tcPr>
            <w:tcW w:w="11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2250" w:type="dxa"/>
            <w:gridSpan w:val="2"/>
            <w:tcBorders>
              <w:top w:val="single" w:sz="2" w:space="0" w:color="000000"/>
              <w:start w:val="single" w:sz="2" w:space="0" w:color="000000"/>
              <w:bottom w:val="single" w:sz="2" w:space="0" w:color="000000"/>
              <w:end w:val="single" w:sz="2" w:space="0" w:color="000000"/>
            </w:tcBorders>
            <w:shd w:fill="000000" w:val="clear"/>
          </w:tcPr>
          <w:p>
            <w:pPr>
              <w:pStyle w:val="Normal"/>
              <w:rPr>
                <w:rFonts w:ascii="Arial" w:hAnsi="Arial" w:cs="Arial"/>
                <w:color w:val="FFFFFF"/>
                <w:lang w:eastAsia="en-US"/>
              </w:rPr>
            </w:pPr>
            <w:r>
              <w:rPr>
                <w:rFonts w:cs="Arial" w:ascii="Arial" w:hAnsi="Arial"/>
                <w:color w:val="FFFFFF"/>
                <w:lang w:eastAsia="en-US"/>
              </w:rPr>
              <w:t>Commodity #2</w:t>
            </w:r>
          </w:p>
        </w:tc>
        <w:tc>
          <w:tcPr>
            <w:tcW w:w="0" w:type="dxa"/>
            <w:vMerge w:val="continue"/>
            <w:tcBorders>
              <w:top w:val="single" w:sz="2" w:space="0" w:color="000000"/>
              <w:start w:val="single" w:sz="2" w:space="0" w:color="000000"/>
              <w:bottom w:val="single" w:sz="2" w:space="0" w:color="000000"/>
              <w:end w:val="single" w:sz="2" w:space="0" w:color="000000"/>
            </w:tcBorders>
            <w:shd w:fill="000000" w:val="clear"/>
          </w:tcPr>
          <w:p>
            <w:pPr>
              <w:pStyle w:val="Normal"/>
              <w:snapToGrid w:val="false"/>
              <w:jc w:val="end"/>
              <w:rPr>
                <w:rFonts w:ascii="Arial" w:hAnsi="Arial" w:cs="Arial"/>
                <w:color w:val="FFFFFF"/>
                <w:lang w:eastAsia="en-US"/>
              </w:rPr>
            </w:pPr>
            <w:r>
              <w:rPr>
                <w:rFonts w:cs="Arial" w:ascii="Arial" w:hAnsi="Arial"/>
                <w:color w:val="FFFFFF"/>
                <w:lang w:eastAsia="en-US"/>
              </w:rPr>
            </w:r>
          </w:p>
        </w:tc>
        <w:tc>
          <w:tcPr>
            <w:tcW w:w="696"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4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81"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8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7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5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66"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18"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37"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49" w:hRule="atLeast"/>
        </w:trPr>
        <w:tc>
          <w:tcPr>
            <w:tcW w:w="11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918"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332"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Category #1</w:t>
            </w:r>
          </w:p>
        </w:tc>
        <w:tc>
          <w:tcPr>
            <w:tcW w:w="696"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4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81"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8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7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5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66"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18"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37"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49" w:hRule="atLeast"/>
        </w:trPr>
        <w:tc>
          <w:tcPr>
            <w:tcW w:w="11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918"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332"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Category #2</w:t>
            </w:r>
          </w:p>
        </w:tc>
        <w:tc>
          <w:tcPr>
            <w:tcW w:w="696"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4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81"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8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7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5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66"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18"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37"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49" w:hRule="atLeast"/>
        </w:trPr>
        <w:tc>
          <w:tcPr>
            <w:tcW w:w="11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918"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332"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Category #3</w:t>
            </w:r>
          </w:p>
        </w:tc>
        <w:tc>
          <w:tcPr>
            <w:tcW w:w="696"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4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81"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8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7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5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66"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18"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37"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49" w:hRule="atLeast"/>
        </w:trPr>
        <w:tc>
          <w:tcPr>
            <w:tcW w:w="11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918"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332"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Category #4</w:t>
            </w:r>
          </w:p>
        </w:tc>
        <w:tc>
          <w:tcPr>
            <w:tcW w:w="696"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4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81"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8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7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5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66"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18"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37"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49" w:hRule="atLeast"/>
        </w:trPr>
        <w:tc>
          <w:tcPr>
            <w:tcW w:w="11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918"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332"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Category #5</w:t>
            </w:r>
          </w:p>
        </w:tc>
        <w:tc>
          <w:tcPr>
            <w:tcW w:w="696"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4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81"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8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7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5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66"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18"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37"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49" w:hRule="atLeast"/>
        </w:trPr>
        <w:tc>
          <w:tcPr>
            <w:tcW w:w="11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918"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96"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4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81"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8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7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5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66"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18"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37"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49" w:hRule="atLeast"/>
        </w:trPr>
        <w:tc>
          <w:tcPr>
            <w:tcW w:w="11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2250" w:type="dxa"/>
            <w:gridSpan w:val="2"/>
            <w:tcBorders>
              <w:top w:val="single" w:sz="2" w:space="0" w:color="000000"/>
              <w:start w:val="single" w:sz="2" w:space="0" w:color="000000"/>
              <w:bottom w:val="single" w:sz="2" w:space="0" w:color="000000"/>
              <w:end w:val="single" w:sz="2" w:space="0" w:color="000000"/>
            </w:tcBorders>
            <w:shd w:fill="000000" w:val="clear"/>
          </w:tcPr>
          <w:p>
            <w:pPr>
              <w:pStyle w:val="Normal"/>
              <w:rPr>
                <w:rFonts w:ascii="Arial" w:hAnsi="Arial" w:cs="Arial"/>
                <w:color w:val="FFFFFF"/>
                <w:lang w:eastAsia="en-US"/>
              </w:rPr>
            </w:pPr>
            <w:r>
              <w:rPr>
                <w:rFonts w:cs="Arial" w:ascii="Arial" w:hAnsi="Arial"/>
                <w:color w:val="FFFFFF"/>
                <w:lang w:eastAsia="en-US"/>
              </w:rPr>
              <w:t>Commodity #3</w:t>
            </w:r>
          </w:p>
        </w:tc>
        <w:tc>
          <w:tcPr>
            <w:tcW w:w="0" w:type="dxa"/>
            <w:vMerge w:val="continue"/>
            <w:tcBorders>
              <w:top w:val="single" w:sz="2" w:space="0" w:color="000000"/>
              <w:start w:val="single" w:sz="2" w:space="0" w:color="000000"/>
              <w:bottom w:val="single" w:sz="2" w:space="0" w:color="000000"/>
              <w:end w:val="single" w:sz="2" w:space="0" w:color="000000"/>
            </w:tcBorders>
            <w:shd w:fill="000000" w:val="clear"/>
          </w:tcPr>
          <w:p>
            <w:pPr>
              <w:pStyle w:val="Normal"/>
              <w:snapToGrid w:val="false"/>
              <w:jc w:val="end"/>
              <w:rPr>
                <w:rFonts w:ascii="Arial" w:hAnsi="Arial" w:cs="Arial"/>
                <w:color w:val="FFFFFF"/>
                <w:lang w:eastAsia="en-US"/>
              </w:rPr>
            </w:pPr>
            <w:r>
              <w:rPr>
                <w:rFonts w:cs="Arial" w:ascii="Arial" w:hAnsi="Arial"/>
                <w:color w:val="FFFFFF"/>
                <w:lang w:eastAsia="en-US"/>
              </w:rPr>
            </w:r>
          </w:p>
        </w:tc>
        <w:tc>
          <w:tcPr>
            <w:tcW w:w="696"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4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81"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8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7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5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66"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18"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37"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49" w:hRule="atLeast"/>
        </w:trPr>
        <w:tc>
          <w:tcPr>
            <w:tcW w:w="11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918"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332"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Category #1</w:t>
            </w:r>
          </w:p>
        </w:tc>
        <w:tc>
          <w:tcPr>
            <w:tcW w:w="696"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4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81"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8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7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5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66"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18"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37"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49" w:hRule="atLeast"/>
        </w:trPr>
        <w:tc>
          <w:tcPr>
            <w:tcW w:w="11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918"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332"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Category #2</w:t>
            </w:r>
          </w:p>
        </w:tc>
        <w:tc>
          <w:tcPr>
            <w:tcW w:w="696"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4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81"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8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7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5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66"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18"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37"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49" w:hRule="atLeast"/>
        </w:trPr>
        <w:tc>
          <w:tcPr>
            <w:tcW w:w="11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918"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332"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Category #3</w:t>
            </w:r>
          </w:p>
        </w:tc>
        <w:tc>
          <w:tcPr>
            <w:tcW w:w="696"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4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81"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8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7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5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66"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18"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37"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49" w:hRule="atLeast"/>
        </w:trPr>
        <w:tc>
          <w:tcPr>
            <w:tcW w:w="11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918"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332"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Category #4</w:t>
            </w:r>
          </w:p>
        </w:tc>
        <w:tc>
          <w:tcPr>
            <w:tcW w:w="696"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4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81"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8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7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5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66"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18"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37"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49" w:hRule="atLeast"/>
        </w:trPr>
        <w:tc>
          <w:tcPr>
            <w:tcW w:w="11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918"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332"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Category #5</w:t>
            </w:r>
          </w:p>
        </w:tc>
        <w:tc>
          <w:tcPr>
            <w:tcW w:w="696"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4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81"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8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7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5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66"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18"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37"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49" w:hRule="atLeast"/>
        </w:trPr>
        <w:tc>
          <w:tcPr>
            <w:tcW w:w="11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918"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96"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4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81"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8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7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5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66"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18"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37"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49" w:hRule="atLeast"/>
        </w:trPr>
        <w:tc>
          <w:tcPr>
            <w:tcW w:w="11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2250" w:type="dxa"/>
            <w:gridSpan w:val="2"/>
            <w:tcBorders>
              <w:top w:val="single" w:sz="2" w:space="0" w:color="000000"/>
              <w:start w:val="single" w:sz="2" w:space="0" w:color="000000"/>
              <w:bottom w:val="single" w:sz="2" w:space="0" w:color="000000"/>
              <w:end w:val="single" w:sz="2" w:space="0" w:color="000000"/>
            </w:tcBorders>
            <w:shd w:fill="000000" w:val="clear"/>
          </w:tcPr>
          <w:p>
            <w:pPr>
              <w:pStyle w:val="Normal"/>
              <w:rPr>
                <w:rFonts w:ascii="Arial" w:hAnsi="Arial" w:cs="Arial"/>
                <w:color w:val="FFFFFF"/>
                <w:lang w:eastAsia="en-US"/>
              </w:rPr>
            </w:pPr>
            <w:r>
              <w:rPr>
                <w:rFonts w:cs="Arial" w:ascii="Arial" w:hAnsi="Arial"/>
                <w:color w:val="FFFFFF"/>
                <w:lang w:eastAsia="en-US"/>
              </w:rPr>
              <w:t>Commodity #4</w:t>
            </w:r>
          </w:p>
        </w:tc>
        <w:tc>
          <w:tcPr>
            <w:tcW w:w="0" w:type="dxa"/>
            <w:vMerge w:val="continue"/>
            <w:tcBorders>
              <w:top w:val="single" w:sz="2" w:space="0" w:color="000000"/>
              <w:start w:val="single" w:sz="2" w:space="0" w:color="000000"/>
              <w:bottom w:val="single" w:sz="2" w:space="0" w:color="000000"/>
              <w:end w:val="single" w:sz="2" w:space="0" w:color="000000"/>
            </w:tcBorders>
            <w:shd w:fill="000000" w:val="clear"/>
          </w:tcPr>
          <w:p>
            <w:pPr>
              <w:pStyle w:val="Normal"/>
              <w:snapToGrid w:val="false"/>
              <w:jc w:val="end"/>
              <w:rPr>
                <w:rFonts w:ascii="Arial" w:hAnsi="Arial" w:cs="Arial"/>
                <w:color w:val="FFFFFF"/>
                <w:lang w:eastAsia="en-US"/>
              </w:rPr>
            </w:pPr>
            <w:r>
              <w:rPr>
                <w:rFonts w:cs="Arial" w:ascii="Arial" w:hAnsi="Arial"/>
                <w:color w:val="FFFFFF"/>
                <w:lang w:eastAsia="en-US"/>
              </w:rPr>
            </w:r>
          </w:p>
        </w:tc>
        <w:tc>
          <w:tcPr>
            <w:tcW w:w="696"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4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81"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8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7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5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66"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18"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37"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49" w:hRule="atLeast"/>
        </w:trPr>
        <w:tc>
          <w:tcPr>
            <w:tcW w:w="11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918"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332"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Category #1</w:t>
            </w:r>
          </w:p>
        </w:tc>
        <w:tc>
          <w:tcPr>
            <w:tcW w:w="696"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4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81"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8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7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5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66"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18"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37"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49" w:hRule="atLeast"/>
        </w:trPr>
        <w:tc>
          <w:tcPr>
            <w:tcW w:w="11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918"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332"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Category #2</w:t>
            </w:r>
          </w:p>
        </w:tc>
        <w:tc>
          <w:tcPr>
            <w:tcW w:w="696"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4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81"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8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7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5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66"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18"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37"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49" w:hRule="atLeast"/>
        </w:trPr>
        <w:tc>
          <w:tcPr>
            <w:tcW w:w="11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918"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332"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Category #3</w:t>
            </w:r>
          </w:p>
        </w:tc>
        <w:tc>
          <w:tcPr>
            <w:tcW w:w="696"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4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81"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8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7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5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66"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18"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37"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49" w:hRule="atLeast"/>
        </w:trPr>
        <w:tc>
          <w:tcPr>
            <w:tcW w:w="11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918"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332"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Category #4</w:t>
            </w:r>
          </w:p>
        </w:tc>
        <w:tc>
          <w:tcPr>
            <w:tcW w:w="696"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4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81"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8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7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5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66"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18"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37"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49" w:hRule="atLeast"/>
        </w:trPr>
        <w:tc>
          <w:tcPr>
            <w:tcW w:w="11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918"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332"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Category #5</w:t>
            </w:r>
          </w:p>
        </w:tc>
        <w:tc>
          <w:tcPr>
            <w:tcW w:w="696"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4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81"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8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7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5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66"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18"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37"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49" w:hRule="atLeast"/>
        </w:trPr>
        <w:tc>
          <w:tcPr>
            <w:tcW w:w="11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918"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33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96"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4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81"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8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7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5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66"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18"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37"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49" w:hRule="atLeast"/>
        </w:trPr>
        <w:tc>
          <w:tcPr>
            <w:tcW w:w="11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2250" w:type="dxa"/>
            <w:gridSpan w:val="2"/>
            <w:tcBorders>
              <w:top w:val="single" w:sz="2" w:space="0" w:color="000000"/>
              <w:start w:val="single" w:sz="2" w:space="0" w:color="000000"/>
              <w:bottom w:val="single" w:sz="2" w:space="0" w:color="000000"/>
              <w:end w:val="single" w:sz="2" w:space="0" w:color="000000"/>
            </w:tcBorders>
            <w:shd w:fill="000000" w:val="clear"/>
          </w:tcPr>
          <w:p>
            <w:pPr>
              <w:pStyle w:val="Normal"/>
              <w:rPr>
                <w:rFonts w:ascii="Arial" w:hAnsi="Arial" w:cs="Arial"/>
                <w:color w:val="FFFFFF"/>
                <w:lang w:eastAsia="en-US"/>
              </w:rPr>
            </w:pPr>
            <w:r>
              <w:rPr>
                <w:rFonts w:cs="Arial" w:ascii="Arial" w:hAnsi="Arial"/>
                <w:color w:val="FFFFFF"/>
                <w:lang w:eastAsia="en-US"/>
              </w:rPr>
              <w:t>Commodity #5</w:t>
            </w:r>
          </w:p>
        </w:tc>
        <w:tc>
          <w:tcPr>
            <w:tcW w:w="0" w:type="dxa"/>
            <w:vMerge w:val="continue"/>
            <w:tcBorders>
              <w:top w:val="single" w:sz="2" w:space="0" w:color="000000"/>
              <w:start w:val="single" w:sz="2" w:space="0" w:color="000000"/>
              <w:bottom w:val="single" w:sz="2" w:space="0" w:color="000000"/>
              <w:end w:val="single" w:sz="2" w:space="0" w:color="000000"/>
            </w:tcBorders>
            <w:shd w:fill="000000" w:val="clear"/>
          </w:tcPr>
          <w:p>
            <w:pPr>
              <w:pStyle w:val="Normal"/>
              <w:snapToGrid w:val="false"/>
              <w:jc w:val="end"/>
              <w:rPr>
                <w:rFonts w:ascii="Arial" w:hAnsi="Arial" w:cs="Arial"/>
                <w:color w:val="FFFFFF"/>
                <w:lang w:eastAsia="en-US"/>
              </w:rPr>
            </w:pPr>
            <w:r>
              <w:rPr>
                <w:rFonts w:cs="Arial" w:ascii="Arial" w:hAnsi="Arial"/>
                <w:color w:val="FFFFFF"/>
                <w:lang w:eastAsia="en-US"/>
              </w:rPr>
            </w:r>
          </w:p>
        </w:tc>
        <w:tc>
          <w:tcPr>
            <w:tcW w:w="696"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4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81"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8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7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5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66"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18"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37"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49" w:hRule="atLeast"/>
        </w:trPr>
        <w:tc>
          <w:tcPr>
            <w:tcW w:w="11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918"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332"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Category #1</w:t>
            </w:r>
          </w:p>
        </w:tc>
        <w:tc>
          <w:tcPr>
            <w:tcW w:w="696"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4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81"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8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7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5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66"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18"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37"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49" w:hRule="atLeast"/>
        </w:trPr>
        <w:tc>
          <w:tcPr>
            <w:tcW w:w="11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918"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332"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Category #2</w:t>
            </w:r>
          </w:p>
        </w:tc>
        <w:tc>
          <w:tcPr>
            <w:tcW w:w="696"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4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81"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8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7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5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66"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18"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37"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49" w:hRule="atLeast"/>
        </w:trPr>
        <w:tc>
          <w:tcPr>
            <w:tcW w:w="11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918"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332"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Category #3</w:t>
            </w:r>
          </w:p>
        </w:tc>
        <w:tc>
          <w:tcPr>
            <w:tcW w:w="696"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4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81"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8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7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5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66"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18"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37"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49" w:hRule="atLeast"/>
        </w:trPr>
        <w:tc>
          <w:tcPr>
            <w:tcW w:w="11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918"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332"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Category #4</w:t>
            </w:r>
          </w:p>
        </w:tc>
        <w:tc>
          <w:tcPr>
            <w:tcW w:w="696"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4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81"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8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7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5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66"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18"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37"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r>
        <w:trPr>
          <w:trHeight w:val="249" w:hRule="atLeast"/>
        </w:trPr>
        <w:tc>
          <w:tcPr>
            <w:tcW w:w="111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918"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332"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Category #5</w:t>
            </w:r>
          </w:p>
        </w:tc>
        <w:tc>
          <w:tcPr>
            <w:tcW w:w="696"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54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81"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8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7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55"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66"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318"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237"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r>
    </w:tbl>
    <w:p>
      <w:pPr>
        <w:pStyle w:val="Normal"/>
        <w:spacing w:lineRule="auto" w:line="480"/>
        <w:ind w:firstLine="720" w:end="0"/>
        <w:rPr>
          <w:sz w:val="24"/>
        </w:rPr>
      </w:pPr>
      <w:r>
        <w:rPr>
          <w:sz w:val="24"/>
        </w:rPr>
      </w:r>
    </w:p>
    <w:p>
      <w:pPr>
        <w:pStyle w:val="BodyText"/>
        <w:rPr/>
      </w:pPr>
      <w:r>
        <w:rPr/>
        <w:t>Figure 2.  Generic template that was added to a selection of deals from the ENA Merchant Portfolio.  Labels such as “Commodity #” are in practice set equal to “Crude”, “Nat Gas,” etc.  “Category #” is set to “PUD”, “PDP”, etc.</w:t>
      </w:r>
    </w:p>
    <w:p>
      <w:pPr>
        <w:pStyle w:val="Normal"/>
        <w:spacing w:lineRule="auto" w:line="480"/>
        <w:ind w:firstLine="720" w:end="0"/>
        <w:rPr>
          <w:sz w:val="24"/>
        </w:rPr>
      </w:pPr>
      <w:r>
        <w:rPr>
          <w:sz w:val="24"/>
        </w:rPr>
      </w:r>
      <w:r>
        <w:br w:type="page"/>
      </w:r>
    </w:p>
    <w:p>
      <w:pPr>
        <w:pStyle w:val="Normal"/>
        <w:spacing w:lineRule="auto" w:line="480"/>
        <w:ind w:firstLine="720" w:end="0"/>
        <w:rPr/>
      </w:pPr>
      <w:r>
        <w:rPr>
          <w:sz w:val="24"/>
        </w:rPr>
        <w:t xml:space="preserve">Although asked to design things on a conceptual level, we were frequently asked for the final numbers.  That is, what is Enron’s volumetric exposure to commodity ABC for deal XYZ for 2004?  </w:t>
      </w:r>
      <w:r>
        <w:rPr>
          <w:b/>
          <w:i/>
          <w:sz w:val="24"/>
        </w:rPr>
        <w:t>Although not in our original mandate, we built a fully functioning prototype model.</w:t>
      </w:r>
      <w:r>
        <w:rPr>
          <w:sz w:val="24"/>
        </w:rPr>
        <w:t xml:space="preserve">  It is an event driven program written in Visual Basic.  Visual Basic was chosen as the programming language as the author was told that other programming efforts underway within Enron were being written in VB, and consistency with these efforts was desirable.  The event driven aspect is a design feature to provide ease of use for the end user.  Point and click programming, if done correctly, is very user friendly.  A copy of the source code is located in Appendix A.</w:t>
      </w:r>
    </w:p>
    <w:p>
      <w:pPr>
        <w:pStyle w:val="Normal"/>
        <w:spacing w:lineRule="auto" w:line="480"/>
        <w:ind w:firstLine="720" w:end="0"/>
        <w:rPr>
          <w:sz w:val="24"/>
        </w:rPr>
      </w:pPr>
      <w:r>
        <w:rPr>
          <w:sz w:val="24"/>
        </w:rPr>
        <w:t>The program was designed to be an interactive bar chart that displayed production volumes over time.  Data could be displayed by any number of sort criteria, and a drill down feature was implemented so that exposures could be determined all the way down to the individual deal level.  A click on an individual bar of the chart pulls up a pop-up window to show the actual numerical values that are being displayed as well as a pie chart of the exposures.  A drop down menu on the pop up window allows different exposures to be displayed in the pie chart.</w:t>
      </w:r>
    </w:p>
    <w:p>
      <w:pPr>
        <w:pStyle w:val="Normal"/>
        <w:spacing w:lineRule="auto" w:line="480"/>
        <w:ind w:firstLine="720" w:end="0"/>
        <w:rPr>
          <w:sz w:val="24"/>
        </w:rPr>
      </w:pPr>
      <w:r>
        <w:rPr>
          <w:sz w:val="24"/>
        </w:rPr>
        <w:t xml:space="preserve">The program was designed to demonstrate the ideas as well as get some much needed feedback on the effort.  A presentation was made in late May 2000 to Ted Murphy’s Market Risk Group, and is contained in Appendix B.  It is based on 22 deals, and details of the program may be found therein.  </w:t>
      </w:r>
    </w:p>
    <w:p>
      <w:pPr>
        <w:pStyle w:val="Normal"/>
        <w:spacing w:lineRule="auto" w:line="480"/>
        <w:ind w:firstLine="720" w:end="0"/>
        <w:rPr>
          <w:sz w:val="24"/>
        </w:rPr>
      </w:pPr>
      <w:r>
        <w:rPr>
          <w:sz w:val="24"/>
        </w:rPr>
        <w:t xml:space="preserve">At the time of the presentation, we sought several things.  First, we wanted a commitment on the approach that we had taken.  Second, we wanted to know if this was information of interest to the audience.  Third, we wanted to know the best IT group to build a production version of the model.  </w:t>
      </w:r>
    </w:p>
    <w:p>
      <w:pPr>
        <w:pStyle w:val="Normal"/>
        <w:spacing w:lineRule="auto" w:line="480"/>
        <w:ind w:firstLine="720" w:end="0"/>
        <w:rPr>
          <w:sz w:val="24"/>
        </w:rPr>
      </w:pPr>
      <w:r>
        <w:rPr>
          <w:sz w:val="24"/>
        </w:rPr>
        <w:t>The response that we received at that time was that what we had done was interesting, but that the assets in EI were of more interest that the merchant assets in ENA.  At this point, we shelved the ENA aspect of the project, since in principle, it was finished.  All that was needed was for the Template to be attached to the latest models, the models inserted into MAPS, and the query run.  The test program would automatically update and adjust to the new data.  However, there was no mention of the IT group that would build the system.</w:t>
      </w:r>
    </w:p>
    <w:p>
      <w:pPr>
        <w:pStyle w:val="Normal"/>
        <w:ind w:firstLine="720" w:end="0"/>
        <w:rPr>
          <w:sz w:val="24"/>
        </w:rPr>
      </w:pPr>
      <w:r>
        <w:rPr>
          <w:sz w:val="24"/>
        </w:rPr>
      </w:r>
    </w:p>
    <w:p>
      <w:pPr>
        <w:pStyle w:val="Heading3"/>
        <w:rPr/>
      </w:pPr>
      <w:r>
        <w:rPr/>
        <w:t>Enron International</w:t>
      </w:r>
    </w:p>
    <w:p>
      <w:pPr>
        <w:pStyle w:val="Normal"/>
        <w:spacing w:lineRule="auto" w:line="480"/>
        <w:ind w:firstLine="720" w:end="0"/>
        <w:rPr>
          <w:sz w:val="24"/>
        </w:rPr>
      </w:pPr>
      <w:r>
        <w:rPr>
          <w:sz w:val="24"/>
        </w:rPr>
        <w:t>“</w:t>
      </w:r>
      <w:r>
        <w:rPr>
          <w:sz w:val="24"/>
        </w:rPr>
        <w:t>EI” is the name for the former business unit that encompassed all of Enron’s international assets.  It was divided into the following business units: CALME, Southern Cone, APACHI, Enron India, and Enron Europe.  Recently, many of these business units are being disbanded.  We have been told that many of the assets are being sold, but this rumor may be premature.</w:t>
      </w:r>
    </w:p>
    <w:p>
      <w:pPr>
        <w:pStyle w:val="Normal"/>
        <w:spacing w:lineRule="auto" w:line="480"/>
        <w:ind w:firstLine="720" w:end="0"/>
        <w:rPr>
          <w:sz w:val="24"/>
        </w:rPr>
      </w:pPr>
      <w:r>
        <w:rPr>
          <w:sz w:val="24"/>
        </w:rPr>
        <w:t xml:space="preserve">Determining the volumetric profile of Enron International (EI) proved to be far more challenging than for the ENA merchant portfolio.  We were investigating an unfamiliar business unit operated by people who were new to us, and were quite suspicious of our intentions.  As before, we are looking for the implied commodity positions in Enron’s international assets.  We started out by determining the organizational structure of EI and the various sources of information.  As we found for ENA, there are several sets of numbers, and it is difficult to determine which set, if any, is accurate.  </w:t>
      </w:r>
    </w:p>
    <w:p>
      <w:pPr>
        <w:pStyle w:val="Normal"/>
        <w:spacing w:lineRule="auto" w:line="480"/>
        <w:ind w:firstLine="720" w:end="0"/>
        <w:rPr>
          <w:sz w:val="24"/>
        </w:rPr>
      </w:pPr>
      <w:r>
        <w:rPr>
          <w:sz w:val="24"/>
        </w:rPr>
        <w:t>Lynn Bellinghausen prepares a due diligence report that provides certain information regarding the financial performance our international assets.  It is analogous to the due diligence report that Rick Carson produces for the ENA assets.  Lynn was quite helpful and took time to describe his work and where he gets his information, as well as the organizational structure of EI.  He was also able to provide copies of a few of the original contract documents.  These have proven to be most useful in understanding the deal structure and tariff mechanisms.  It is important to note that the tariffs described in the contracts contain explicit reference to several CPI’s/PPI’s.  Therefore, there is an explicit exposure to inflation rates.  More will be said about this later.</w:t>
      </w:r>
    </w:p>
    <w:p>
      <w:pPr>
        <w:pStyle w:val="Normal"/>
        <w:spacing w:lineRule="auto" w:line="480"/>
        <w:ind w:firstLine="720" w:end="0"/>
        <w:rPr>
          <w:sz w:val="24"/>
        </w:rPr>
      </w:pPr>
      <w:r>
        <w:rPr>
          <w:sz w:val="24"/>
        </w:rPr>
        <w:t xml:space="preserve">Mark Ruane’s group also performs certain revaluations for international assets.  In many cases, they have spreadsheet models not unlike the ENA models.  The models include projected balance sheets and income statements.  The models take as input various forward curves, including inflation and foreign exchange rate curves that are provided by Maureen Castenada, who works in Research.  She is the official economist for Enron.  </w:t>
      </w:r>
    </w:p>
    <w:p>
      <w:pPr>
        <w:pStyle w:val="Normal"/>
        <w:spacing w:lineRule="auto" w:line="480"/>
        <w:ind w:firstLine="720" w:end="0"/>
        <w:rPr>
          <w:sz w:val="24"/>
        </w:rPr>
      </w:pPr>
      <w:r>
        <w:rPr>
          <w:sz w:val="24"/>
        </w:rPr>
        <w:t>The deal teams also provide a model for Mark, but their models are usually quite different from his model.  A reconciliation report between the two models is generated, but sometimes issues of disagreement remain unresolved.  A copy of a reconciliation report has been obtained by the group and archived.  Each model produces a projected IRR, and the disagreements create significant changes in the projected IRR.</w:t>
      </w:r>
    </w:p>
    <w:p>
      <w:pPr>
        <w:pStyle w:val="Normal"/>
        <w:spacing w:lineRule="auto" w:line="480"/>
        <w:ind w:firstLine="720" w:end="0"/>
        <w:rPr>
          <w:sz w:val="24"/>
        </w:rPr>
      </w:pPr>
      <w:r>
        <w:rPr>
          <w:sz w:val="24"/>
        </w:rPr>
        <w:t>Another source of models is Connie Estrems and Tracy Davis.  Tracy generates the Enron International Quarterly Asset Risk Summary report.  This report contains a list of key individuals in EI as well as a summary of different exposures such as currency, inflation, commodity, and interest rate exposure.  Return on equity projections and a chart of sensitivities to different exposures is also provided.  The charts are a product of some Excel models that she has for the major EI deals.  Sensitivities are estimated by using different forward curves as input to the model, and determining how the deal value changes.  It is our understanding that these models are identical to the deal team’s models.</w:t>
      </w:r>
    </w:p>
    <w:p>
      <w:pPr>
        <w:pStyle w:val="Normal"/>
        <w:spacing w:lineRule="auto" w:line="480"/>
        <w:ind w:firstLine="720" w:end="0"/>
        <w:rPr>
          <w:sz w:val="24"/>
        </w:rPr>
      </w:pPr>
      <w:r>
        <w:rPr>
          <w:sz w:val="24"/>
        </w:rPr>
        <w:t xml:space="preserve">Since Enron operates many of these assets, another source of volumetric forecasts is the accounting team that has been assigned to a given deal.  Volumetric forecasts must be known by planning teams (such as expected fuel usage for a power plant).  This information is kept track by the accountants in an effort to project quarterly earnings estimates.  Agatha Tran provided an overview of what is available for certain CALME deals.  However, there is no reconciliation between the accountants and the models maintained by Tracy or Mark.  According to the accountants, the relevant “process” for certain deals is as follows.  The project teams forecast earnings and cashflows for every month in the current quarter.  Three times a year, the earnings are forecast for the entire year.  These forecasts are entirely independent of the spreadsheet models previously mentioned.  </w:t>
      </w:r>
    </w:p>
    <w:p>
      <w:pPr>
        <w:pStyle w:val="Normal"/>
        <w:spacing w:lineRule="auto" w:line="480"/>
        <w:ind w:firstLine="720" w:end="0"/>
        <w:rPr>
          <w:sz w:val="24"/>
        </w:rPr>
      </w:pPr>
      <w:r>
        <w:rPr>
          <w:sz w:val="24"/>
        </w:rPr>
        <w:t xml:space="preserve">There is an EI database named Olympus.  It is in a few ways similar to MAPS.  Olympus is designed to be a deal tracking system.  The database is for deals in the pipeline, not for deals that are already done.  Furthermore, the database is not structured to permit queries, and does not serve as a model warehouse.  As of June 2000, Jan Calloway was the database administrator.  </w:t>
      </w:r>
    </w:p>
    <w:p>
      <w:pPr>
        <w:pStyle w:val="BodyTextIndent"/>
        <w:rPr/>
      </w:pPr>
      <w:r>
        <w:rPr/>
        <w:t xml:space="preserve">Finally several of the Southern Cone assets have websites.  The links are as follows: </w:t>
      </w:r>
    </w:p>
    <w:p>
      <w:pPr>
        <w:pStyle w:val="Normal"/>
        <w:numPr>
          <w:ilvl w:val="0"/>
          <w:numId w:val="5"/>
        </w:numPr>
        <w:tabs>
          <w:tab w:val="clear" w:pos="720"/>
          <w:tab w:val="left" w:pos="1080" w:leader="none"/>
        </w:tabs>
        <w:ind w:hanging="360" w:start="1080" w:end="0"/>
        <w:rPr>
          <w:sz w:val="24"/>
        </w:rPr>
      </w:pPr>
      <w:r>
        <w:rPr>
          <w:sz w:val="24"/>
        </w:rPr>
        <w:t xml:space="preserve">COPEL-- </w:t>
      </w:r>
      <w:hyperlink r:id="rId2">
        <w:r>
          <w:rPr>
            <w:rStyle w:val="Hyperlink"/>
          </w:rPr>
          <w:t>http://www.copel.br/copel/port/copel-i.html</w:t>
        </w:r>
      </w:hyperlink>
      <w:r>
        <w:rPr>
          <w:sz w:val="24"/>
        </w:rPr>
        <w:t xml:space="preserve"> </w:t>
      </w:r>
    </w:p>
    <w:p>
      <w:pPr>
        <w:pStyle w:val="Normal"/>
        <w:numPr>
          <w:ilvl w:val="0"/>
          <w:numId w:val="5"/>
        </w:numPr>
        <w:tabs>
          <w:tab w:val="clear" w:pos="720"/>
          <w:tab w:val="left" w:pos="1080" w:leader="none"/>
        </w:tabs>
        <w:ind w:hanging="360" w:start="1080" w:end="0"/>
        <w:rPr>
          <w:sz w:val="24"/>
        </w:rPr>
      </w:pPr>
      <w:r>
        <w:rPr>
          <w:sz w:val="24"/>
        </w:rPr>
        <w:t xml:space="preserve">Elektro-- </w:t>
      </w:r>
      <w:hyperlink r:id="rId3">
        <w:r>
          <w:rPr>
            <w:rStyle w:val="Hyperlink"/>
          </w:rPr>
          <w:t>http://www.elektro.com.br/</w:t>
        </w:r>
      </w:hyperlink>
    </w:p>
    <w:p>
      <w:pPr>
        <w:pStyle w:val="Normal"/>
        <w:numPr>
          <w:ilvl w:val="0"/>
          <w:numId w:val="5"/>
        </w:numPr>
        <w:tabs>
          <w:tab w:val="clear" w:pos="720"/>
          <w:tab w:val="left" w:pos="1080" w:leader="none"/>
        </w:tabs>
        <w:spacing w:lineRule="auto" w:line="480"/>
        <w:ind w:hanging="360" w:start="1080" w:end="0"/>
        <w:rPr>
          <w:sz w:val="24"/>
        </w:rPr>
      </w:pPr>
      <w:r>
        <w:rPr>
          <w:sz w:val="24"/>
        </w:rPr>
        <w:t xml:space="preserve">TGS-- </w:t>
      </w:r>
      <w:hyperlink r:id="rId4">
        <w:r>
          <w:rPr>
            <w:rStyle w:val="Hyperlink"/>
          </w:rPr>
          <w:t>http://www.tgs.com.ar/ingles/index.htm</w:t>
        </w:r>
      </w:hyperlink>
      <w:r>
        <w:rPr>
          <w:sz w:val="24"/>
        </w:rPr>
        <w:t xml:space="preserve"> </w:t>
      </w:r>
    </w:p>
    <w:p>
      <w:pPr>
        <w:pStyle w:val="Normal"/>
        <w:spacing w:lineRule="auto" w:line="480"/>
        <w:ind w:firstLine="720" w:end="0"/>
        <w:rPr>
          <w:sz w:val="24"/>
        </w:rPr>
      </w:pPr>
      <w:r>
        <w:rPr>
          <w:sz w:val="24"/>
        </w:rPr>
        <w:t xml:space="preserve">As alluded to earlier, we found that EI was structurally different from ENA, and that obtaining information was considerably more difficult.  Evidently, there is no aggregate reporting system or risk management system.  That is, no one calculates a defendable VaR statistic, and there is no IT infrastructure that permits information to be automatically gathered, updated, and reported.  </w:t>
      </w:r>
    </w:p>
    <w:p>
      <w:pPr>
        <w:pStyle w:val="Normal"/>
        <w:spacing w:lineRule="auto" w:line="480"/>
        <w:ind w:firstLine="720" w:end="0"/>
        <w:rPr>
          <w:sz w:val="24"/>
        </w:rPr>
      </w:pPr>
      <w:r>
        <w:rPr>
          <w:sz w:val="24"/>
        </w:rPr>
        <w:t xml:space="preserve">We managed to obtain documents listing a risk management process, but there does not appear to be any staff to actually do the work.  We were told that most of the analysts and associates had left to join EBS.  The model revaluation process that is in place consists of updating forward curves, not updating the information within the model.  All hardcoded growth assumptions and production numbers essentially remain unchanged and unchallenged since their original inception date.  </w:t>
      </w:r>
    </w:p>
    <w:p>
      <w:pPr>
        <w:pStyle w:val="Normal"/>
        <w:spacing w:lineRule="auto" w:line="480"/>
        <w:ind w:firstLine="720" w:end="0"/>
        <w:rPr>
          <w:sz w:val="24"/>
        </w:rPr>
      </w:pPr>
      <w:r>
        <w:rPr>
          <w:sz w:val="24"/>
        </w:rPr>
        <w:t>Given the feedback from the Ted Murphy presentation and the state of affairs at the time, we decided to focus on Southern Cone.  Once again, the goal is to determine the volumetric profile for Enron’s assets.  As before, we chose to use Mark Ruane’s models since his models seemed to be the most accurate, and it was our understanding that these numbers are presented to the Board.  These models are not originally attached to MAPS.</w:t>
      </w:r>
    </w:p>
    <w:p>
      <w:pPr>
        <w:pStyle w:val="Normal"/>
        <w:spacing w:lineRule="auto" w:line="480"/>
        <w:ind w:firstLine="720" w:end="0"/>
        <w:rPr>
          <w:sz w:val="24"/>
        </w:rPr>
      </w:pPr>
      <w:r>
        <w:rPr>
          <w:sz w:val="24"/>
        </w:rPr>
        <w:t xml:space="preserve">We focused on the following deals:  Riogas, CEG, Transredes, Elektro, GTB, TBG, Cuiaba (pipeline), EPE, and all parts of the Gaspart deal, namely SCGas, Compagas, PBGas, Emsergas, Algas, Copergas, and Bahaigas.  After reading and archiving the contracts, we decided to trace through the models to determine the volumetric profile.  The traces generally start on the projected net income statement, and work back through the model to understand exactly where the number orginates.  Cost assumptions, price assumptions, and O&amp;M expenses were all identified.  Although the growth assumptions appeared to be high, the logical structure of the models is quite valid.  We detected very few errors in coding, and tariff calculations agreed with those in the contracts.  A collection of the traces have been recorded and placed in a notebook, and is available for review upon request.  Although exhausting to perform, it was desirable at the time to maintain a journal of some kind just in case we had to go back to the models at a later date in the future.  This journal has proven to be very useful as we can know exactly where each number originates, and aids in justifying the numbers before skeptics.  </w:t>
      </w:r>
    </w:p>
    <w:p>
      <w:pPr>
        <w:pStyle w:val="Normal"/>
        <w:spacing w:lineRule="auto" w:line="480"/>
        <w:ind w:firstLine="720" w:end="0"/>
        <w:rPr>
          <w:sz w:val="24"/>
        </w:rPr>
      </w:pPr>
      <w:r>
        <w:rPr>
          <w:sz w:val="24"/>
        </w:rPr>
        <w:t>As before, we found that there are several different types of volumes for the same commodity for a given deal.  To make matters more complicated, the Cuiaba deal was spread out through several different models, with each leg of the deal having its own Excel workbook.  We found that the volumetric assumptions for a given leg of the deal do not agree across all models.  We decided to use the volumes that we felt best represent the volumetric exposure.  Figures 3 and 4 are representative of the results that we found.</w:t>
      </w:r>
      <w:r>
        <w:br w:type="page"/>
      </w:r>
    </w:p>
    <w:p>
      <w:pPr>
        <w:pStyle w:val="Normal"/>
        <w:spacing w:lineRule="auto" w:line="480"/>
        <w:ind w:firstLine="720" w:end="0"/>
        <w:rPr>
          <w:sz w:val="24"/>
        </w:rPr>
      </w:pPr>
      <w:r>
        <w:rPr>
          <w:sz w:val="24"/>
        </w:rPr>
      </w:r>
    </w:p>
    <w:p>
      <w:pPr>
        <w:pStyle w:val="Normal"/>
        <w:spacing w:lineRule="auto" w:line="480"/>
        <w:ind w:firstLine="720" w:end="0"/>
        <w:rPr>
          <w:sz w:val="24"/>
        </w:rPr>
      </w:pPr>
      <w:r>
        <w:rPr>
          <w:sz w:val="24"/>
        </w:rPr>
      </w:r>
    </w:p>
    <w:p>
      <w:pPr>
        <w:pStyle w:val="Normal"/>
        <w:spacing w:lineRule="auto" w:line="480"/>
        <w:ind w:firstLine="720" w:end="0"/>
        <w:rPr>
          <w:sz w:val="24"/>
        </w:rPr>
      </w:pPr>
      <w:r>
        <w:rPr>
          <w:sz w:val="24"/>
        </w:rPr>
      </w:r>
    </w:p>
    <w:p>
      <w:pPr>
        <w:pStyle w:val="Normal"/>
        <w:spacing w:lineRule="auto" w:line="480"/>
        <w:ind w:firstLine="720" w:end="0"/>
        <w:rPr>
          <w:sz w:val="24"/>
        </w:rPr>
      </w:pPr>
      <w:r>
        <w:rPr>
          <w:sz w:val="24"/>
        </w:rPr>
      </w:r>
    </w:p>
    <w:p>
      <w:pPr>
        <w:pStyle w:val="Normal"/>
        <w:spacing w:lineRule="auto" w:line="480"/>
        <w:ind w:firstLine="720" w:end="0"/>
        <w:rPr>
          <w:sz w:val="24"/>
        </w:rPr>
      </w:pPr>
      <w:r>
        <w:rPr>
          <w:sz w:val="24"/>
        </w:rPr>
      </w:r>
    </w:p>
    <w:p>
      <w:pPr>
        <w:pStyle w:val="Normal"/>
        <w:spacing w:lineRule="auto" w:line="480"/>
        <w:ind w:firstLine="720" w:end="0"/>
        <w:rPr>
          <w:sz w:val="24"/>
        </w:rPr>
      </w:pPr>
      <w:r>
        <w:rPr>
          <w:sz w:val="24"/>
        </w:rPr>
      </w:r>
    </w:p>
    <w:p>
      <w:pPr>
        <w:pStyle w:val="Normal"/>
        <w:spacing w:lineRule="auto" w:line="480"/>
        <w:ind w:firstLine="720" w:end="0"/>
        <w:rPr>
          <w:sz w:val="24"/>
        </w:rPr>
      </w:pPr>
      <w:r>
        <w:rPr>
          <w:sz w:val="24"/>
        </w:rPr>
        <w:object w:dxaOrig="10240" w:dyaOrig="6657">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position:absolute;margin-left:-32.4pt;margin-top:28.8pt;width:504pt;height:373.2pt;mso-wrap-distance-left:9.05pt;mso-wrap-distance-right:9.05pt;mso-position-horizontal-relative:text;mso-position-vertical-relative:text" filled="f" o:ole="">
            <v:imagedata r:id="rId6" o:title=""/>
            <w10:wrap type="topAndBottom"/>
          </v:shape>
          <o:OLEObject Type="Embed" ProgID="Excel.Sheet.12" ShapeID="ole_rId5" DrawAspect="Content" ObjectID="_1200882616" r:id="rId5"/>
        </w:object>
      </w:r>
    </w:p>
    <w:p>
      <w:pPr>
        <w:pStyle w:val="Normal"/>
        <w:spacing w:lineRule="auto" w:line="480"/>
        <w:ind w:firstLine="720" w:end="0"/>
        <w:rPr>
          <w:sz w:val="24"/>
        </w:rPr>
      </w:pPr>
      <w:r>
        <w:rPr>
          <w:sz w:val="24"/>
        </w:rPr>
      </w:r>
    </w:p>
    <w:p>
      <w:pPr>
        <w:pStyle w:val="BodyTextIndent"/>
        <w:spacing w:lineRule="auto" w:line="240"/>
        <w:rPr/>
      </w:pPr>
      <w:r>
        <w:rPr/>
        <w:t>Figure 3.  Expected power demand for Elektro by customer type.  Other charts contain the corresponding short positions from Elektro’s power suppliers.</w:t>
      </w:r>
      <w:r>
        <w:br w:type="page"/>
      </w:r>
    </w:p>
    <w:p>
      <w:pPr>
        <w:pStyle w:val="BodyTextIndent"/>
        <w:spacing w:lineRule="auto" w:line="240"/>
        <w:rPr/>
      </w:pPr>
      <w:r>
        <w:rPr/>
      </w:r>
    </w:p>
    <w:p>
      <w:pPr>
        <w:pStyle w:val="BodyTextIndent"/>
        <w:spacing w:lineRule="auto" w:line="240"/>
        <w:rPr/>
      </w:pPr>
      <w:r>
        <w:rPr/>
      </w:r>
    </w:p>
    <w:p>
      <w:pPr>
        <w:pStyle w:val="BodyTextIndent"/>
        <w:spacing w:lineRule="auto" w:line="240"/>
        <w:rPr/>
      </w:pPr>
      <w:r>
        <w:rPr/>
      </w:r>
    </w:p>
    <w:p>
      <w:pPr>
        <w:pStyle w:val="BodyTextIndent"/>
        <w:spacing w:lineRule="auto" w:line="240"/>
        <w:rPr/>
      </w:pPr>
      <w:r>
        <w:rPr/>
      </w:r>
    </w:p>
    <w:p>
      <w:pPr>
        <w:pStyle w:val="BodyTextIndent"/>
        <w:spacing w:lineRule="auto" w:line="240"/>
        <w:rPr/>
      </w:pPr>
      <w:r>
        <w:rPr/>
      </w:r>
    </w:p>
    <w:p>
      <w:pPr>
        <w:pStyle w:val="BodyTextIndent"/>
        <w:spacing w:lineRule="auto" w:line="240"/>
        <w:rPr/>
      </w:pPr>
      <w:r>
        <w:rPr/>
      </w:r>
    </w:p>
    <w:p>
      <w:pPr>
        <w:pStyle w:val="BodyTextIndent"/>
        <w:spacing w:lineRule="auto" w:line="240"/>
        <w:rPr/>
      </w:pPr>
      <w:r>
        <w:rPr/>
      </w:r>
    </w:p>
    <w:p>
      <w:pPr>
        <w:pStyle w:val="BodyTextIndent"/>
        <w:spacing w:lineRule="auto" w:line="240"/>
        <w:rPr/>
      </w:pPr>
      <w:r>
        <w:rPr/>
      </w:r>
    </w:p>
    <w:p>
      <w:pPr>
        <w:pStyle w:val="BodyTextIndent"/>
        <w:spacing w:lineRule="auto" w:line="240"/>
        <w:rPr/>
      </w:pPr>
      <w:r>
        <w:rPr/>
      </w:r>
    </w:p>
    <w:p>
      <w:pPr>
        <w:pStyle w:val="BodyTextIndent"/>
        <w:spacing w:lineRule="auto" w:line="240"/>
        <w:rPr/>
      </w:pPr>
      <w:r>
        <w:rPr/>
      </w:r>
    </w:p>
    <w:p>
      <w:pPr>
        <w:pStyle w:val="BodyTextIndent"/>
        <w:spacing w:lineRule="auto" w:line="240"/>
        <w:rPr/>
      </w:pPr>
      <w:r>
        <w:rPr/>
      </w:r>
    </w:p>
    <w:p>
      <w:pPr>
        <w:pStyle w:val="BodyTextIndent"/>
        <w:spacing w:lineRule="auto" w:line="240"/>
        <w:rPr/>
      </w:pPr>
      <w:r>
        <w:rPr/>
      </w:r>
    </w:p>
    <w:p>
      <w:pPr>
        <w:pStyle w:val="BodyTextIndent"/>
        <w:spacing w:lineRule="auto" w:line="240"/>
        <w:rPr/>
      </w:pPr>
      <w:r>
        <w:rPr/>
      </w:r>
    </w:p>
    <w:p>
      <w:pPr>
        <w:pStyle w:val="BodyTextIndent"/>
        <w:spacing w:lineRule="auto" w:line="240"/>
        <w:rPr/>
      </w:pPr>
      <w:r>
        <w:rPr/>
      </w:r>
    </w:p>
    <w:p>
      <w:pPr>
        <w:pStyle w:val="BodyTextIndent"/>
        <w:spacing w:lineRule="auto" w:line="240"/>
        <w:rPr/>
      </w:pPr>
      <w:r>
        <w:rPr/>
        <w:object w:dxaOrig="10240" w:dyaOrig="6913">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position:absolute;margin-left:-32.4pt;margin-top:8.4pt;width:504pt;height:366.6pt;mso-wrap-distance-left:9.05pt;mso-wrap-distance-right:9.05pt;mso-position-horizontal-relative:text;mso-position-vertical-relative:text" filled="f" o:ole="">
            <v:imagedata r:id="rId8" o:title=""/>
            <w10:wrap type="topAndBottom"/>
          </v:shape>
          <o:OLEObject Type="Embed" ProgID="Excel.Sheet.12" ShapeID="ole_rId7" DrawAspect="Content" ObjectID="_1396572754" r:id="rId7"/>
        </w:object>
      </w:r>
    </w:p>
    <w:p>
      <w:pPr>
        <w:pStyle w:val="BodyTextIndent"/>
        <w:spacing w:lineRule="auto" w:line="240"/>
        <w:rPr/>
      </w:pPr>
      <w:r>
        <w:rPr/>
      </w:r>
    </w:p>
    <w:p>
      <w:pPr>
        <w:pStyle w:val="BodyTextIndent"/>
        <w:spacing w:lineRule="auto" w:line="240"/>
        <w:rPr/>
      </w:pPr>
      <w:r>
        <w:rPr/>
        <w:t>Figure 4.  Net power profile for Elektro.</w:t>
      </w:r>
    </w:p>
    <w:p>
      <w:pPr>
        <w:pStyle w:val="BodyTextIndent"/>
        <w:spacing w:lineRule="auto" w:line="240"/>
        <w:rPr/>
      </w:pPr>
      <w:r>
        <w:rPr/>
      </w:r>
      <w:r>
        <w:br w:type="page"/>
      </w:r>
    </w:p>
    <w:p>
      <w:pPr>
        <w:pStyle w:val="Normal"/>
        <w:spacing w:lineRule="auto" w:line="480"/>
        <w:ind w:firstLine="720" w:end="0"/>
        <w:rPr>
          <w:sz w:val="24"/>
        </w:rPr>
      </w:pPr>
      <w:r>
        <w:rPr>
          <w:sz w:val="24"/>
        </w:rPr>
        <w:t>We were in the process of attaching the Template to the models, and had obtained approval from Andrea Reed (who has ownership of MAPS) to attach the models into MAPS when we were told that most of the EI assets were going to be sold.  Our effort was not needed, and that we were to stop immediately and proceed to EES.  Consequently, closure was not possible.  However, recently (January 2001) there has been a new effort by David Port’s group to determine the volumetric profile for certain international assets in order to construct hedges for them.  The team has forwarded its volumetric summary for Southern Cone, but it is not clear if the results will be used.</w:t>
      </w:r>
    </w:p>
    <w:p>
      <w:pPr>
        <w:pStyle w:val="Normal"/>
        <w:spacing w:lineRule="auto" w:line="480"/>
        <w:ind w:firstLine="720" w:end="0"/>
        <w:rPr/>
      </w:pPr>
      <w:r>
        <w:rPr/>
        <w:t>Although we did not get a chance to rigorously investigate the other divisions of EI, we did compose a listing of the different exposures within EI.  Exposures by individual asset are available upon request.</w:t>
      </w:r>
    </w:p>
    <w:tbl>
      <w:tblPr>
        <w:tblW w:w="10501" w:type="dxa"/>
        <w:jc w:val="start"/>
        <w:tblInd w:w="-690" w:type="dxa"/>
        <w:tblLayout w:type="fixed"/>
        <w:tblCellMar>
          <w:top w:w="0" w:type="dxa"/>
          <w:start w:w="30" w:type="dxa"/>
          <w:bottom w:w="0" w:type="dxa"/>
          <w:end w:w="30" w:type="dxa"/>
        </w:tblCellMar>
      </w:tblPr>
      <w:tblGrid>
        <w:gridCol w:w="1700"/>
        <w:gridCol w:w="370"/>
        <w:gridCol w:w="90"/>
        <w:gridCol w:w="90"/>
        <w:gridCol w:w="1011"/>
        <w:gridCol w:w="1010"/>
        <w:gridCol w:w="409"/>
        <w:gridCol w:w="1011"/>
        <w:gridCol w:w="1010"/>
        <w:gridCol w:w="769"/>
        <w:gridCol w:w="1011"/>
        <w:gridCol w:w="1010"/>
        <w:gridCol w:w="1010"/>
      </w:tblGrid>
      <w:tr>
        <w:trPr>
          <w:trHeight w:val="247" w:hRule="atLeast"/>
        </w:trPr>
        <w:tc>
          <w:tcPr>
            <w:tcW w:w="1700" w:type="dxa"/>
            <w:tcBorders/>
          </w:tcPr>
          <w:p>
            <w:pPr>
              <w:pStyle w:val="Normal"/>
              <w:rPr>
                <w:rFonts w:ascii="Arial" w:hAnsi="Arial" w:cs="Arial"/>
                <w:b/>
                <w:color w:val="000000"/>
                <w:lang w:eastAsia="en-US"/>
              </w:rPr>
            </w:pPr>
            <w:r>
              <w:rPr>
                <w:rFonts w:cs="Arial" w:ascii="Arial" w:hAnsi="Arial"/>
                <w:b/>
                <w:color w:val="000000"/>
                <w:lang w:eastAsia="en-US"/>
              </w:rPr>
              <w:t>Currency</w:t>
            </w:r>
          </w:p>
        </w:tc>
        <w:tc>
          <w:tcPr>
            <w:tcW w:w="370" w:type="dxa"/>
            <w:tcBorders/>
          </w:tcPr>
          <w:p>
            <w:pPr>
              <w:pStyle w:val="Normal"/>
              <w:snapToGrid w:val="false"/>
              <w:ind w:end="131"/>
              <w:jc w:val="end"/>
              <w:rPr>
                <w:rFonts w:ascii="Arial" w:hAnsi="Arial" w:cs="Arial"/>
                <w:b/>
                <w:color w:val="000000"/>
                <w:lang w:eastAsia="en-US"/>
              </w:rPr>
            </w:pPr>
            <w:r>
              <w:rPr>
                <w:rFonts w:cs="Arial" w:ascii="Arial" w:hAnsi="Arial"/>
                <w:b/>
                <w:color w:val="000000"/>
                <w:lang w:eastAsia="en-US"/>
              </w:rPr>
            </w:r>
          </w:p>
        </w:tc>
        <w:tc>
          <w:tcPr>
            <w:tcW w:w="18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cPr>
          <w:p>
            <w:pPr>
              <w:pStyle w:val="Normal"/>
              <w:rPr>
                <w:rFonts w:ascii="Arial" w:hAnsi="Arial" w:cs="Arial"/>
                <w:b/>
                <w:color w:val="000000"/>
                <w:lang w:eastAsia="en-US"/>
              </w:rPr>
            </w:pPr>
            <w:r>
              <w:rPr>
                <w:rFonts w:cs="Arial" w:ascii="Arial" w:hAnsi="Arial"/>
                <w:b/>
                <w:color w:val="000000"/>
                <w:lang w:eastAsia="en-US"/>
              </w:rPr>
              <w:t>Inflation</w:t>
            </w:r>
          </w:p>
        </w:tc>
        <w:tc>
          <w:tcPr>
            <w:tcW w:w="1010" w:type="dxa"/>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4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21" w:type="dxa"/>
            <w:gridSpan w:val="2"/>
            <w:tcBorders/>
          </w:tcPr>
          <w:p>
            <w:pPr>
              <w:pStyle w:val="Normal"/>
              <w:rPr>
                <w:rFonts w:ascii="Arial" w:hAnsi="Arial" w:cs="Arial"/>
                <w:b/>
                <w:color w:val="000000"/>
                <w:lang w:eastAsia="en-US"/>
              </w:rPr>
            </w:pPr>
            <w:r>
              <w:rPr>
                <w:rFonts w:cs="Arial" w:ascii="Arial" w:hAnsi="Arial"/>
                <w:b/>
                <w:color w:val="000000"/>
                <w:lang w:eastAsia="en-US"/>
              </w:rPr>
              <w:t>Commodity</w:t>
            </w:r>
          </w:p>
        </w:tc>
        <w:tc>
          <w:tcPr>
            <w:tcW w:w="0" w:type="dxa"/>
            <w:vMerge w:val="continue"/>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7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21" w:type="dxa"/>
            <w:gridSpan w:val="2"/>
            <w:tcBorders/>
          </w:tcPr>
          <w:p>
            <w:pPr>
              <w:pStyle w:val="Normal"/>
              <w:rPr>
                <w:rFonts w:ascii="Arial" w:hAnsi="Arial" w:cs="Arial"/>
                <w:b/>
                <w:color w:val="000000"/>
                <w:lang w:eastAsia="en-US"/>
              </w:rPr>
            </w:pPr>
            <w:r>
              <w:rPr>
                <w:rFonts w:cs="Arial" w:ascii="Arial" w:hAnsi="Arial"/>
                <w:b/>
                <w:color w:val="000000"/>
                <w:lang w:eastAsia="en-US"/>
              </w:rPr>
              <w:t>Interest Rate</w:t>
            </w:r>
          </w:p>
        </w:tc>
        <w:tc>
          <w:tcPr>
            <w:tcW w:w="0" w:type="dxa"/>
            <w:vMerge w:val="continue"/>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70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60" w:type="dxa"/>
            <w:gridSpan w:val="2"/>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40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7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1"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2160" w:type="dxa"/>
            <w:gridSpan w:val="3"/>
            <w:tcBorders/>
          </w:tcPr>
          <w:p>
            <w:pPr>
              <w:pStyle w:val="Normal"/>
              <w:rPr>
                <w:rFonts w:ascii="Arial" w:hAnsi="Arial" w:cs="Arial"/>
                <w:color w:val="000000"/>
                <w:sz w:val="16"/>
                <w:lang w:eastAsia="en-US"/>
              </w:rPr>
            </w:pPr>
            <w:r>
              <w:rPr>
                <w:rFonts w:cs="Arial" w:ascii="Arial" w:hAnsi="Arial"/>
                <w:color w:val="000000"/>
                <w:sz w:val="16"/>
                <w:lang w:eastAsia="en-US"/>
              </w:rPr>
              <w:t>Argentine Peso</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9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2021" w:type="dxa"/>
            <w:gridSpan w:val="2"/>
            <w:tcBorders/>
          </w:tcPr>
          <w:p>
            <w:pPr>
              <w:pStyle w:val="Normal"/>
              <w:rPr>
                <w:rFonts w:ascii="Arial" w:hAnsi="Arial" w:cs="Arial"/>
                <w:color w:val="000000"/>
                <w:sz w:val="16"/>
                <w:lang w:eastAsia="en-US"/>
              </w:rPr>
            </w:pPr>
            <w:r>
              <w:rPr>
                <w:rFonts w:cs="Arial" w:ascii="Arial" w:hAnsi="Arial"/>
                <w:color w:val="000000"/>
                <w:sz w:val="16"/>
                <w:lang w:eastAsia="en-US"/>
              </w:rPr>
              <w:t>Argentine CPI</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409"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2021" w:type="dxa"/>
            <w:gridSpan w:val="2"/>
            <w:tcBorders/>
          </w:tcPr>
          <w:p>
            <w:pPr>
              <w:pStyle w:val="Normal"/>
              <w:rPr>
                <w:rFonts w:ascii="Arial" w:hAnsi="Arial" w:cs="Arial"/>
                <w:color w:val="000000"/>
                <w:sz w:val="16"/>
                <w:lang w:eastAsia="en-US"/>
              </w:rPr>
            </w:pPr>
            <w:r>
              <w:rPr>
                <w:rFonts w:cs="Arial" w:ascii="Arial" w:hAnsi="Arial"/>
                <w:color w:val="000000"/>
                <w:sz w:val="16"/>
                <w:lang w:eastAsia="en-US"/>
              </w:rPr>
              <w:t>0.2% Sulfur Gas Oil</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769"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2021" w:type="dxa"/>
            <w:gridSpan w:val="2"/>
            <w:tcBorders/>
          </w:tcPr>
          <w:p>
            <w:pPr>
              <w:pStyle w:val="Normal"/>
              <w:rPr>
                <w:rFonts w:ascii="Arial" w:hAnsi="Arial" w:cs="Arial"/>
                <w:color w:val="000000"/>
                <w:sz w:val="16"/>
                <w:lang w:eastAsia="en-US"/>
              </w:rPr>
            </w:pPr>
            <w:r>
              <w:rPr>
                <w:rFonts w:cs="Arial" w:ascii="Arial" w:hAnsi="Arial"/>
                <w:color w:val="000000"/>
                <w:sz w:val="16"/>
                <w:lang w:eastAsia="en-US"/>
              </w:rPr>
              <w:t>Brazilain DI</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47" w:hRule="atLeast"/>
        </w:trPr>
        <w:tc>
          <w:tcPr>
            <w:tcW w:w="2160" w:type="dxa"/>
            <w:gridSpan w:val="3"/>
            <w:tcBorders/>
          </w:tcPr>
          <w:p>
            <w:pPr>
              <w:pStyle w:val="Normal"/>
              <w:rPr>
                <w:rFonts w:ascii="Arial" w:hAnsi="Arial" w:cs="Arial"/>
                <w:color w:val="000000"/>
                <w:sz w:val="16"/>
                <w:lang w:eastAsia="en-US"/>
              </w:rPr>
            </w:pPr>
            <w:r>
              <w:rPr>
                <w:rFonts w:cs="Arial" w:ascii="Arial" w:hAnsi="Arial"/>
                <w:color w:val="000000"/>
                <w:sz w:val="16"/>
                <w:lang w:eastAsia="en-US"/>
              </w:rPr>
              <w:t>Brazilian Real</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9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2021" w:type="dxa"/>
            <w:gridSpan w:val="2"/>
            <w:tcBorders/>
          </w:tcPr>
          <w:p>
            <w:pPr>
              <w:pStyle w:val="Normal"/>
              <w:rPr>
                <w:rFonts w:ascii="Arial" w:hAnsi="Arial" w:cs="Arial"/>
                <w:color w:val="000000"/>
                <w:sz w:val="16"/>
                <w:lang w:eastAsia="en-US"/>
              </w:rPr>
            </w:pPr>
            <w:r>
              <w:rPr>
                <w:rFonts w:cs="Arial" w:ascii="Arial" w:hAnsi="Arial"/>
                <w:color w:val="000000"/>
                <w:sz w:val="16"/>
                <w:lang w:eastAsia="en-US"/>
              </w:rPr>
              <w:t>Brazilian ICP-M (Industrial)</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409"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2021" w:type="dxa"/>
            <w:gridSpan w:val="2"/>
            <w:tcBorders/>
          </w:tcPr>
          <w:p>
            <w:pPr>
              <w:pStyle w:val="Normal"/>
              <w:rPr>
                <w:rFonts w:ascii="Arial" w:hAnsi="Arial" w:cs="Arial"/>
                <w:color w:val="000000"/>
                <w:sz w:val="16"/>
                <w:lang w:eastAsia="en-US"/>
              </w:rPr>
            </w:pPr>
            <w:r>
              <w:rPr>
                <w:rFonts w:cs="Arial" w:ascii="Arial" w:hAnsi="Arial"/>
                <w:color w:val="000000"/>
                <w:sz w:val="16"/>
                <w:lang w:eastAsia="en-US"/>
              </w:rPr>
              <w:t xml:space="preserve">Arabian Heavy 27 API </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769"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3031" w:type="dxa"/>
            <w:gridSpan w:val="3"/>
            <w:tcBorders/>
          </w:tcPr>
          <w:p>
            <w:pPr>
              <w:pStyle w:val="Normal"/>
              <w:rPr>
                <w:rFonts w:ascii="Arial" w:hAnsi="Arial" w:cs="Arial"/>
                <w:color w:val="000000"/>
                <w:sz w:val="16"/>
                <w:lang w:eastAsia="en-US"/>
              </w:rPr>
            </w:pPr>
            <w:r>
              <w:rPr>
                <w:rFonts w:cs="Arial" w:ascii="Arial" w:hAnsi="Arial"/>
                <w:color w:val="000000"/>
                <w:sz w:val="16"/>
                <w:lang w:eastAsia="en-US"/>
              </w:rPr>
              <w:t>Brazilian Taxa De Juros de Longo Prazo</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47" w:hRule="atLeast"/>
        </w:trPr>
        <w:tc>
          <w:tcPr>
            <w:tcW w:w="2160" w:type="dxa"/>
            <w:gridSpan w:val="3"/>
            <w:tcBorders/>
          </w:tcPr>
          <w:p>
            <w:pPr>
              <w:pStyle w:val="Normal"/>
              <w:rPr>
                <w:rFonts w:ascii="Arial" w:hAnsi="Arial" w:cs="Arial"/>
                <w:color w:val="000000"/>
                <w:sz w:val="16"/>
                <w:lang w:eastAsia="en-US"/>
              </w:rPr>
            </w:pPr>
            <w:r>
              <w:rPr>
                <w:rFonts w:cs="Arial" w:ascii="Arial" w:hAnsi="Arial"/>
                <w:color w:val="000000"/>
                <w:sz w:val="16"/>
                <w:lang w:eastAsia="en-US"/>
              </w:rPr>
              <w:t>Canadian Dollar</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9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1" w:type="dxa"/>
            <w:tcBorders/>
          </w:tcPr>
          <w:p>
            <w:pPr>
              <w:pStyle w:val="Normal"/>
              <w:rPr>
                <w:rFonts w:ascii="Arial" w:hAnsi="Arial" w:cs="Arial"/>
                <w:color w:val="000000"/>
                <w:sz w:val="16"/>
                <w:lang w:eastAsia="en-US"/>
              </w:rPr>
            </w:pPr>
            <w:r>
              <w:rPr>
                <w:rFonts w:cs="Arial" w:ascii="Arial" w:hAnsi="Arial"/>
                <w:color w:val="000000"/>
                <w:sz w:val="16"/>
                <w:lang w:eastAsia="en-US"/>
              </w:rPr>
              <w:t>Brazilian CPI</w:t>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409"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2021" w:type="dxa"/>
            <w:gridSpan w:val="2"/>
            <w:tcBorders/>
          </w:tcPr>
          <w:p>
            <w:pPr>
              <w:pStyle w:val="Normal"/>
              <w:rPr>
                <w:rFonts w:ascii="Arial" w:hAnsi="Arial" w:cs="Arial"/>
                <w:color w:val="000000"/>
                <w:sz w:val="16"/>
                <w:lang w:eastAsia="en-US"/>
              </w:rPr>
            </w:pPr>
            <w:r>
              <w:rPr>
                <w:rFonts w:cs="Arial" w:ascii="Arial" w:hAnsi="Arial"/>
                <w:color w:val="000000"/>
                <w:sz w:val="16"/>
                <w:lang w:eastAsia="en-US"/>
              </w:rPr>
              <w:t>Diesel Fuel HSFO 380</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769"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2021" w:type="dxa"/>
            <w:gridSpan w:val="2"/>
            <w:tcBorders/>
          </w:tcPr>
          <w:p>
            <w:pPr>
              <w:pStyle w:val="Normal"/>
              <w:rPr>
                <w:rFonts w:ascii="Arial" w:hAnsi="Arial" w:cs="Arial"/>
                <w:color w:val="000000"/>
                <w:sz w:val="16"/>
                <w:lang w:eastAsia="en-US"/>
              </w:rPr>
            </w:pPr>
            <w:r>
              <w:rPr>
                <w:rFonts w:cs="Arial" w:ascii="Arial" w:hAnsi="Arial"/>
                <w:color w:val="000000"/>
                <w:sz w:val="16"/>
                <w:lang w:eastAsia="en-US"/>
              </w:rPr>
              <w:t>Brazilian Taxa Referencial</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47" w:hRule="atLeast"/>
        </w:trPr>
        <w:tc>
          <w:tcPr>
            <w:tcW w:w="2160" w:type="dxa"/>
            <w:gridSpan w:val="3"/>
            <w:tcBorders/>
          </w:tcPr>
          <w:p>
            <w:pPr>
              <w:pStyle w:val="Normal"/>
              <w:rPr>
                <w:rFonts w:ascii="Arial" w:hAnsi="Arial" w:cs="Arial"/>
                <w:color w:val="000000"/>
                <w:sz w:val="16"/>
                <w:lang w:eastAsia="en-US"/>
              </w:rPr>
            </w:pPr>
            <w:r>
              <w:rPr>
                <w:rFonts w:cs="Arial" w:ascii="Arial" w:hAnsi="Arial"/>
                <w:color w:val="000000"/>
                <w:sz w:val="16"/>
                <w:lang w:eastAsia="en-US"/>
              </w:rPr>
              <w:t>Colombian Peso</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9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2021" w:type="dxa"/>
            <w:gridSpan w:val="2"/>
            <w:tcBorders/>
          </w:tcPr>
          <w:p>
            <w:pPr>
              <w:pStyle w:val="Normal"/>
              <w:rPr>
                <w:rFonts w:ascii="Arial" w:hAnsi="Arial" w:cs="Arial"/>
                <w:color w:val="000000"/>
                <w:sz w:val="16"/>
                <w:lang w:eastAsia="en-US"/>
              </w:rPr>
            </w:pPr>
            <w:r>
              <w:rPr>
                <w:rFonts w:cs="Arial" w:ascii="Arial" w:hAnsi="Arial"/>
                <w:color w:val="000000"/>
                <w:sz w:val="16"/>
                <w:lang w:eastAsia="en-US"/>
              </w:rPr>
              <w:t>Colombian CPI</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409"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2021" w:type="dxa"/>
            <w:gridSpan w:val="2"/>
            <w:tcBorders/>
          </w:tcPr>
          <w:p>
            <w:pPr>
              <w:pStyle w:val="Normal"/>
              <w:rPr>
                <w:rFonts w:ascii="Arial" w:hAnsi="Arial" w:cs="Arial"/>
                <w:color w:val="000000"/>
                <w:sz w:val="16"/>
                <w:lang w:eastAsia="en-US"/>
              </w:rPr>
            </w:pPr>
            <w:r>
              <w:rPr>
                <w:rFonts w:cs="Arial" w:ascii="Arial" w:hAnsi="Arial"/>
                <w:color w:val="000000"/>
                <w:sz w:val="16"/>
                <w:lang w:eastAsia="en-US"/>
              </w:rPr>
              <w:t>Fuel Oil, 1% Sulfur</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769"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3031" w:type="dxa"/>
            <w:gridSpan w:val="3"/>
            <w:tcBorders/>
          </w:tcPr>
          <w:p>
            <w:pPr>
              <w:pStyle w:val="Normal"/>
              <w:rPr>
                <w:rFonts w:ascii="Arial" w:hAnsi="Arial" w:cs="Arial"/>
                <w:color w:val="000000"/>
                <w:sz w:val="16"/>
                <w:lang w:eastAsia="en-US"/>
              </w:rPr>
            </w:pPr>
            <w:r>
              <w:rPr>
                <w:rFonts w:cs="Arial" w:ascii="Arial" w:hAnsi="Arial"/>
                <w:color w:val="000000"/>
                <w:sz w:val="16"/>
                <w:lang w:eastAsia="en-US"/>
              </w:rPr>
              <w:t>Colombian Deposito a Termino Fijo</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47" w:hRule="atLeast"/>
        </w:trPr>
        <w:tc>
          <w:tcPr>
            <w:tcW w:w="2160" w:type="dxa"/>
            <w:gridSpan w:val="3"/>
            <w:tcBorders/>
          </w:tcPr>
          <w:p>
            <w:pPr>
              <w:pStyle w:val="Normal"/>
              <w:rPr>
                <w:rFonts w:ascii="Arial" w:hAnsi="Arial" w:cs="Arial"/>
                <w:color w:val="000000"/>
                <w:sz w:val="16"/>
                <w:lang w:eastAsia="en-US"/>
              </w:rPr>
            </w:pPr>
            <w:r>
              <w:rPr>
                <w:rFonts w:cs="Arial" w:ascii="Arial" w:hAnsi="Arial"/>
                <w:color w:val="000000"/>
                <w:sz w:val="16"/>
                <w:lang w:eastAsia="en-US"/>
              </w:rPr>
              <w:t>Dominican Republic Peso</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9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2021" w:type="dxa"/>
            <w:gridSpan w:val="2"/>
            <w:tcBorders/>
          </w:tcPr>
          <w:p>
            <w:pPr>
              <w:pStyle w:val="Normal"/>
              <w:rPr>
                <w:rFonts w:ascii="Arial" w:hAnsi="Arial" w:cs="Arial"/>
                <w:color w:val="000000"/>
                <w:sz w:val="16"/>
                <w:lang w:eastAsia="en-US"/>
              </w:rPr>
            </w:pPr>
            <w:r>
              <w:rPr>
                <w:rFonts w:cs="Arial" w:ascii="Arial" w:hAnsi="Arial"/>
                <w:color w:val="000000"/>
                <w:sz w:val="16"/>
                <w:lang w:eastAsia="en-US"/>
              </w:rPr>
              <w:t>Dominican Rep. CPI</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409"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2021" w:type="dxa"/>
            <w:gridSpan w:val="2"/>
            <w:tcBorders/>
          </w:tcPr>
          <w:p>
            <w:pPr>
              <w:pStyle w:val="Normal"/>
              <w:rPr>
                <w:rFonts w:ascii="Arial" w:hAnsi="Arial" w:cs="Arial"/>
                <w:color w:val="000000"/>
                <w:sz w:val="16"/>
                <w:lang w:eastAsia="en-US"/>
              </w:rPr>
            </w:pPr>
            <w:r>
              <w:rPr>
                <w:rFonts w:cs="Arial" w:ascii="Arial" w:hAnsi="Arial"/>
                <w:color w:val="000000"/>
                <w:sz w:val="16"/>
                <w:lang w:eastAsia="en-US"/>
              </w:rPr>
              <w:t>Fuel Oil, 2.2% Sulfur</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769"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3031" w:type="dxa"/>
            <w:gridSpan w:val="3"/>
            <w:tcBorders/>
          </w:tcPr>
          <w:p>
            <w:pPr>
              <w:pStyle w:val="Normal"/>
              <w:rPr>
                <w:rFonts w:ascii="Arial" w:hAnsi="Arial" w:cs="Arial"/>
                <w:color w:val="000000"/>
                <w:sz w:val="16"/>
                <w:lang w:eastAsia="en-US"/>
              </w:rPr>
            </w:pPr>
            <w:r>
              <w:rPr>
                <w:rFonts w:cs="Arial" w:ascii="Arial" w:hAnsi="Arial"/>
                <w:color w:val="000000"/>
                <w:sz w:val="16"/>
                <w:lang w:eastAsia="en-US"/>
              </w:rPr>
              <w:t>Korean Prime Lending Rate</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47" w:hRule="atLeast"/>
        </w:trPr>
        <w:tc>
          <w:tcPr>
            <w:tcW w:w="1700" w:type="dxa"/>
            <w:tcBorders/>
          </w:tcPr>
          <w:p>
            <w:pPr>
              <w:pStyle w:val="Normal"/>
              <w:rPr>
                <w:rFonts w:ascii="Arial" w:hAnsi="Arial" w:cs="Arial"/>
                <w:color w:val="000000"/>
                <w:sz w:val="16"/>
                <w:lang w:eastAsia="en-US"/>
              </w:rPr>
            </w:pPr>
            <w:r>
              <w:rPr>
                <w:rFonts w:cs="Arial" w:ascii="Arial" w:hAnsi="Arial"/>
                <w:color w:val="000000"/>
                <w:sz w:val="16"/>
                <w:lang w:eastAsia="en-US"/>
              </w:rPr>
              <w:t>Euro</w:t>
            </w:r>
          </w:p>
        </w:tc>
        <w:tc>
          <w:tcPr>
            <w:tcW w:w="460"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9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2430" w:type="dxa"/>
            <w:gridSpan w:val="3"/>
            <w:tcBorders/>
          </w:tcPr>
          <w:p>
            <w:pPr>
              <w:pStyle w:val="Normal"/>
              <w:rPr>
                <w:rFonts w:ascii="Arial" w:hAnsi="Arial" w:cs="Arial"/>
                <w:color w:val="000000"/>
                <w:sz w:val="16"/>
                <w:lang w:eastAsia="en-US"/>
              </w:rPr>
            </w:pPr>
            <w:r>
              <w:rPr>
                <w:rFonts w:cs="Arial" w:ascii="Arial" w:hAnsi="Arial"/>
                <w:color w:val="000000"/>
                <w:sz w:val="16"/>
                <w:lang w:eastAsia="en-US"/>
              </w:rPr>
              <w:t>Final Investments Assets Index</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2790" w:type="dxa"/>
            <w:gridSpan w:val="3"/>
            <w:tcBorders/>
          </w:tcPr>
          <w:p>
            <w:pPr>
              <w:pStyle w:val="Normal"/>
              <w:rPr>
                <w:rFonts w:ascii="Arial" w:hAnsi="Arial" w:cs="Arial"/>
                <w:color w:val="000000"/>
                <w:sz w:val="16"/>
                <w:lang w:eastAsia="en-US"/>
              </w:rPr>
            </w:pPr>
            <w:r>
              <w:rPr>
                <w:rFonts w:cs="Arial" w:ascii="Arial" w:hAnsi="Arial"/>
                <w:color w:val="000000"/>
                <w:sz w:val="16"/>
                <w:lang w:eastAsia="en-US"/>
              </w:rPr>
              <w:t>Fuel Oil, 3.5% Sulfur Fuel Oil, #2</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2021" w:type="dxa"/>
            <w:gridSpan w:val="2"/>
            <w:tcBorders/>
          </w:tcPr>
          <w:p>
            <w:pPr>
              <w:pStyle w:val="Normal"/>
              <w:rPr>
                <w:rFonts w:ascii="Arial" w:hAnsi="Arial" w:cs="Arial"/>
                <w:color w:val="000000"/>
                <w:sz w:val="16"/>
                <w:lang w:eastAsia="en-US"/>
              </w:rPr>
            </w:pPr>
            <w:r>
              <w:rPr>
                <w:rFonts w:cs="Arial" w:ascii="Arial" w:hAnsi="Arial"/>
                <w:color w:val="000000"/>
                <w:sz w:val="16"/>
                <w:lang w:eastAsia="en-US"/>
              </w:rPr>
              <w:t>US Overnight Rate</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47" w:hRule="atLeast"/>
        </w:trPr>
        <w:tc>
          <w:tcPr>
            <w:tcW w:w="2160" w:type="dxa"/>
            <w:gridSpan w:val="3"/>
            <w:tcBorders/>
          </w:tcPr>
          <w:p>
            <w:pPr>
              <w:pStyle w:val="Normal"/>
              <w:rPr>
                <w:rFonts w:ascii="Arial" w:hAnsi="Arial" w:cs="Arial"/>
                <w:color w:val="000000"/>
                <w:sz w:val="16"/>
                <w:lang w:eastAsia="en-US"/>
              </w:rPr>
            </w:pPr>
            <w:r>
              <w:rPr>
                <w:rFonts w:cs="Arial" w:ascii="Arial" w:hAnsi="Arial"/>
                <w:color w:val="000000"/>
                <w:sz w:val="16"/>
                <w:lang w:eastAsia="en-US"/>
              </w:rPr>
              <w:t>Finnish Markka</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9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2021" w:type="dxa"/>
            <w:gridSpan w:val="2"/>
            <w:tcBorders/>
          </w:tcPr>
          <w:p>
            <w:pPr>
              <w:pStyle w:val="Normal"/>
              <w:rPr>
                <w:rFonts w:ascii="Arial" w:hAnsi="Arial" w:cs="Arial"/>
                <w:color w:val="000000"/>
                <w:sz w:val="16"/>
                <w:lang w:eastAsia="en-US"/>
              </w:rPr>
            </w:pPr>
            <w:r>
              <w:rPr>
                <w:rFonts w:cs="Arial" w:ascii="Arial" w:hAnsi="Arial"/>
                <w:color w:val="000000"/>
                <w:sz w:val="16"/>
                <w:lang w:eastAsia="en-US"/>
              </w:rPr>
              <w:t>Finnish Industrial Index</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409"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1" w:type="dxa"/>
            <w:tcBorders/>
          </w:tcPr>
          <w:p>
            <w:pPr>
              <w:pStyle w:val="Normal"/>
              <w:rPr>
                <w:rFonts w:ascii="Arial" w:hAnsi="Arial" w:cs="Arial"/>
                <w:color w:val="000000"/>
                <w:sz w:val="16"/>
                <w:lang w:eastAsia="en-US"/>
              </w:rPr>
            </w:pPr>
            <w:r>
              <w:rPr>
                <w:rFonts w:cs="Arial" w:ascii="Arial" w:hAnsi="Arial"/>
                <w:color w:val="000000"/>
                <w:sz w:val="16"/>
                <w:lang w:eastAsia="en-US"/>
              </w:rPr>
              <w:t xml:space="preserve">Fuel Oil #6 </w:t>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769"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1" w:type="dxa"/>
            <w:tcBorders/>
          </w:tcPr>
          <w:p>
            <w:pPr>
              <w:pStyle w:val="Normal"/>
              <w:rPr>
                <w:rFonts w:ascii="Arial" w:hAnsi="Arial" w:cs="Arial"/>
                <w:color w:val="000000"/>
                <w:sz w:val="16"/>
                <w:lang w:eastAsia="en-US"/>
              </w:rPr>
            </w:pPr>
            <w:r>
              <w:rPr>
                <w:rFonts w:cs="Arial" w:ascii="Arial" w:hAnsi="Arial"/>
                <w:color w:val="000000"/>
                <w:sz w:val="16"/>
                <w:lang w:eastAsia="en-US"/>
              </w:rPr>
              <w:t>USD Libor</w:t>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47" w:hRule="atLeast"/>
        </w:trPr>
        <w:tc>
          <w:tcPr>
            <w:tcW w:w="2160" w:type="dxa"/>
            <w:gridSpan w:val="3"/>
            <w:tcBorders/>
          </w:tcPr>
          <w:p>
            <w:pPr>
              <w:pStyle w:val="Normal"/>
              <w:rPr>
                <w:rFonts w:ascii="Arial" w:hAnsi="Arial" w:cs="Arial"/>
                <w:color w:val="000000"/>
                <w:sz w:val="16"/>
                <w:lang w:eastAsia="en-US"/>
              </w:rPr>
            </w:pPr>
            <w:r>
              <w:rPr>
                <w:rFonts w:cs="Arial" w:ascii="Arial" w:hAnsi="Arial"/>
                <w:color w:val="000000"/>
                <w:sz w:val="16"/>
                <w:lang w:eastAsia="en-US"/>
              </w:rPr>
              <w:t>German Duetschmark</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9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2021" w:type="dxa"/>
            <w:gridSpan w:val="2"/>
            <w:tcBorders/>
          </w:tcPr>
          <w:p>
            <w:pPr>
              <w:pStyle w:val="Normal"/>
              <w:rPr>
                <w:rFonts w:ascii="Arial" w:hAnsi="Arial" w:cs="Arial"/>
                <w:color w:val="000000"/>
                <w:sz w:val="16"/>
                <w:lang w:eastAsia="en-US"/>
              </w:rPr>
            </w:pPr>
            <w:r>
              <w:rPr>
                <w:rFonts w:cs="Arial" w:ascii="Arial" w:hAnsi="Arial"/>
                <w:color w:val="000000"/>
                <w:sz w:val="16"/>
                <w:lang w:eastAsia="en-US"/>
              </w:rPr>
              <w:t>German Industrial Index</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409"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1" w:type="dxa"/>
            <w:tcBorders/>
          </w:tcPr>
          <w:p>
            <w:pPr>
              <w:pStyle w:val="Normal"/>
              <w:rPr>
                <w:rFonts w:ascii="Arial" w:hAnsi="Arial" w:cs="Arial"/>
                <w:color w:val="000000"/>
                <w:sz w:val="16"/>
                <w:lang w:eastAsia="en-US"/>
              </w:rPr>
            </w:pPr>
            <w:r>
              <w:rPr>
                <w:rFonts w:cs="Arial" w:ascii="Arial" w:hAnsi="Arial"/>
                <w:color w:val="000000"/>
                <w:sz w:val="16"/>
                <w:lang w:eastAsia="en-US"/>
              </w:rPr>
              <w:t>Iranian Light</w:t>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769"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1"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47" w:hRule="atLeast"/>
        </w:trPr>
        <w:tc>
          <w:tcPr>
            <w:tcW w:w="2160" w:type="dxa"/>
            <w:gridSpan w:val="3"/>
            <w:tcBorders/>
          </w:tcPr>
          <w:p>
            <w:pPr>
              <w:pStyle w:val="Normal"/>
              <w:rPr>
                <w:rFonts w:ascii="Arial" w:hAnsi="Arial" w:cs="Arial"/>
                <w:color w:val="000000"/>
                <w:sz w:val="16"/>
                <w:lang w:eastAsia="en-US"/>
              </w:rPr>
            </w:pPr>
            <w:r>
              <w:rPr>
                <w:rFonts w:cs="Arial" w:ascii="Arial" w:hAnsi="Arial"/>
                <w:color w:val="000000"/>
                <w:sz w:val="16"/>
                <w:lang w:eastAsia="en-US"/>
              </w:rPr>
              <w:t>Guatemalan Quetzal</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9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2021" w:type="dxa"/>
            <w:gridSpan w:val="2"/>
            <w:tcBorders/>
          </w:tcPr>
          <w:p>
            <w:pPr>
              <w:pStyle w:val="Normal"/>
              <w:rPr>
                <w:rFonts w:ascii="Arial" w:hAnsi="Arial" w:cs="Arial"/>
                <w:color w:val="000000"/>
                <w:sz w:val="16"/>
                <w:lang w:eastAsia="en-US"/>
              </w:rPr>
            </w:pPr>
            <w:r>
              <w:rPr>
                <w:rFonts w:cs="Arial" w:ascii="Arial" w:hAnsi="Arial"/>
                <w:color w:val="000000"/>
                <w:sz w:val="16"/>
                <w:lang w:eastAsia="en-US"/>
              </w:rPr>
              <w:t>GNP Deflator Index</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409"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2790" w:type="dxa"/>
            <w:gridSpan w:val="3"/>
            <w:tcBorders/>
          </w:tcPr>
          <w:p>
            <w:pPr>
              <w:pStyle w:val="Normal"/>
              <w:rPr>
                <w:rFonts w:ascii="Arial" w:hAnsi="Arial" w:cs="Arial"/>
                <w:color w:val="000000"/>
                <w:sz w:val="16"/>
                <w:lang w:eastAsia="en-US"/>
              </w:rPr>
            </w:pPr>
            <w:r>
              <w:rPr>
                <w:rFonts w:cs="Arial" w:ascii="Arial" w:hAnsi="Arial"/>
                <w:color w:val="000000"/>
                <w:sz w:val="16"/>
                <w:lang w:eastAsia="en-US"/>
              </w:rPr>
              <w:t>Kirkuk FOB MED (Iraq) 36 API</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1"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47" w:hRule="atLeast"/>
        </w:trPr>
        <w:tc>
          <w:tcPr>
            <w:tcW w:w="2160" w:type="dxa"/>
            <w:gridSpan w:val="3"/>
            <w:tcBorders/>
          </w:tcPr>
          <w:p>
            <w:pPr>
              <w:pStyle w:val="Normal"/>
              <w:rPr>
                <w:rFonts w:ascii="Arial" w:hAnsi="Arial" w:cs="Arial"/>
                <w:color w:val="000000"/>
                <w:sz w:val="16"/>
                <w:lang w:eastAsia="en-US"/>
              </w:rPr>
            </w:pPr>
            <w:r>
              <w:rPr>
                <w:rFonts w:cs="Arial" w:ascii="Arial" w:hAnsi="Arial"/>
                <w:color w:val="000000"/>
                <w:sz w:val="16"/>
                <w:lang w:eastAsia="en-US"/>
              </w:rPr>
              <w:t>South Korean Won</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9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2021" w:type="dxa"/>
            <w:gridSpan w:val="2"/>
            <w:tcBorders/>
          </w:tcPr>
          <w:p>
            <w:pPr>
              <w:pStyle w:val="Normal"/>
              <w:rPr>
                <w:rFonts w:ascii="Arial" w:hAnsi="Arial" w:cs="Arial"/>
                <w:color w:val="000000"/>
                <w:sz w:val="16"/>
                <w:lang w:eastAsia="en-US"/>
              </w:rPr>
            </w:pPr>
            <w:r>
              <w:rPr>
                <w:rFonts w:cs="Arial" w:ascii="Arial" w:hAnsi="Arial"/>
                <w:color w:val="000000"/>
                <w:sz w:val="16"/>
                <w:lang w:eastAsia="en-US"/>
              </w:rPr>
              <w:t>Guatemalan CPI</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409"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5821" w:type="dxa"/>
            <w:gridSpan w:val="6"/>
            <w:tcBorders/>
          </w:tcPr>
          <w:p>
            <w:pPr>
              <w:pStyle w:val="Normal"/>
              <w:rPr>
                <w:rFonts w:ascii="Arial" w:hAnsi="Arial" w:cs="Arial"/>
                <w:color w:val="000000"/>
                <w:sz w:val="16"/>
                <w:lang w:eastAsia="en-US"/>
              </w:rPr>
            </w:pPr>
            <w:r>
              <w:rPr>
                <w:rFonts w:cs="Arial" w:ascii="Arial" w:hAnsi="Arial"/>
                <w:color w:val="000000"/>
                <w:sz w:val="16"/>
                <w:lang w:eastAsia="en-US"/>
              </w:rPr>
              <w:t>Marine Diesel Sahara Blend (Algeria) 44 API</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47" w:hRule="atLeast"/>
        </w:trPr>
        <w:tc>
          <w:tcPr>
            <w:tcW w:w="2160" w:type="dxa"/>
            <w:gridSpan w:val="3"/>
            <w:tcBorders/>
          </w:tcPr>
          <w:p>
            <w:pPr>
              <w:pStyle w:val="Normal"/>
              <w:rPr>
                <w:rFonts w:ascii="Arial" w:hAnsi="Arial" w:cs="Arial"/>
                <w:color w:val="000000"/>
                <w:sz w:val="16"/>
                <w:lang w:eastAsia="en-US"/>
              </w:rPr>
            </w:pPr>
            <w:r>
              <w:rPr>
                <w:rFonts w:cs="Arial" w:ascii="Arial" w:hAnsi="Arial"/>
                <w:color w:val="000000"/>
                <w:sz w:val="16"/>
                <w:lang w:eastAsia="en-US"/>
              </w:rPr>
              <w:t>Philippine Peso</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9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2021" w:type="dxa"/>
            <w:gridSpan w:val="2"/>
            <w:tcBorders/>
          </w:tcPr>
          <w:p>
            <w:pPr>
              <w:pStyle w:val="Normal"/>
              <w:rPr>
                <w:rFonts w:ascii="Arial" w:hAnsi="Arial" w:cs="Arial"/>
                <w:color w:val="000000"/>
                <w:sz w:val="16"/>
                <w:lang w:eastAsia="en-US"/>
              </w:rPr>
            </w:pPr>
            <w:r>
              <w:rPr>
                <w:rFonts w:cs="Arial" w:ascii="Arial" w:hAnsi="Arial"/>
                <w:color w:val="000000"/>
                <w:sz w:val="16"/>
                <w:lang w:eastAsia="en-US"/>
              </w:rPr>
              <w:t>OECD Annual CPI</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409"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2790" w:type="dxa"/>
            <w:gridSpan w:val="3"/>
            <w:tcBorders/>
          </w:tcPr>
          <w:p>
            <w:pPr>
              <w:pStyle w:val="Normal"/>
              <w:rPr>
                <w:rFonts w:ascii="Arial" w:hAnsi="Arial" w:cs="Arial"/>
                <w:color w:val="000000"/>
                <w:sz w:val="16"/>
                <w:lang w:eastAsia="en-US"/>
              </w:rPr>
            </w:pPr>
            <w:r>
              <w:rPr>
                <w:rFonts w:cs="Arial" w:ascii="Arial" w:hAnsi="Arial"/>
                <w:color w:val="000000"/>
                <w:sz w:val="16"/>
                <w:lang w:eastAsia="en-US"/>
              </w:rPr>
              <w:t>Sahara Blend (Algeria) 44 API</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1"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47" w:hRule="atLeast"/>
        </w:trPr>
        <w:tc>
          <w:tcPr>
            <w:tcW w:w="1700" w:type="dxa"/>
            <w:tcBorders/>
          </w:tcPr>
          <w:p>
            <w:pPr>
              <w:pStyle w:val="Normal"/>
              <w:rPr>
                <w:rFonts w:ascii="Arial" w:hAnsi="Arial" w:cs="Arial"/>
                <w:color w:val="000000"/>
                <w:sz w:val="16"/>
                <w:lang w:eastAsia="en-US"/>
              </w:rPr>
            </w:pPr>
            <w:r>
              <w:rPr>
                <w:rFonts w:cs="Arial" w:ascii="Arial" w:hAnsi="Arial"/>
                <w:color w:val="000000"/>
                <w:sz w:val="16"/>
                <w:lang w:eastAsia="en-US"/>
              </w:rPr>
              <w:t>Polish Zloty</w:t>
            </w:r>
          </w:p>
        </w:tc>
        <w:tc>
          <w:tcPr>
            <w:tcW w:w="460"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9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2021" w:type="dxa"/>
            <w:gridSpan w:val="2"/>
            <w:tcBorders/>
          </w:tcPr>
          <w:p>
            <w:pPr>
              <w:pStyle w:val="Normal"/>
              <w:rPr>
                <w:rFonts w:ascii="Arial" w:hAnsi="Arial" w:cs="Arial"/>
                <w:color w:val="000000"/>
                <w:sz w:val="16"/>
                <w:lang w:eastAsia="en-US"/>
              </w:rPr>
            </w:pPr>
            <w:r>
              <w:rPr>
                <w:rFonts w:cs="Arial" w:ascii="Arial" w:hAnsi="Arial"/>
                <w:color w:val="000000"/>
                <w:sz w:val="16"/>
                <w:lang w:eastAsia="en-US"/>
              </w:rPr>
              <w:t>Philippines CPI</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409"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2021" w:type="dxa"/>
            <w:gridSpan w:val="2"/>
            <w:tcBorders/>
          </w:tcPr>
          <w:p>
            <w:pPr>
              <w:pStyle w:val="Normal"/>
              <w:rPr>
                <w:rFonts w:ascii="Arial" w:hAnsi="Arial" w:cs="Arial"/>
                <w:color w:val="000000"/>
                <w:sz w:val="16"/>
                <w:lang w:eastAsia="en-US"/>
              </w:rPr>
            </w:pPr>
            <w:r>
              <w:rPr>
                <w:rFonts w:cs="Arial" w:ascii="Arial" w:hAnsi="Arial"/>
                <w:color w:val="000000"/>
                <w:sz w:val="16"/>
                <w:lang w:eastAsia="en-US"/>
              </w:rPr>
              <w:t>World Oil Index</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769"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1"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47" w:hRule="atLeast"/>
        </w:trPr>
        <w:tc>
          <w:tcPr>
            <w:tcW w:w="1700" w:type="dxa"/>
            <w:tcBorders/>
          </w:tcPr>
          <w:p>
            <w:pPr>
              <w:pStyle w:val="Normal"/>
              <w:rPr>
                <w:rFonts w:ascii="Arial" w:hAnsi="Arial" w:cs="Arial"/>
                <w:color w:val="000000"/>
                <w:sz w:val="16"/>
                <w:lang w:eastAsia="en-US"/>
              </w:rPr>
            </w:pPr>
            <w:r>
              <w:rPr>
                <w:rFonts w:cs="Arial" w:ascii="Arial" w:hAnsi="Arial"/>
                <w:color w:val="000000"/>
                <w:sz w:val="16"/>
                <w:lang w:eastAsia="en-US"/>
              </w:rPr>
              <w:t>Turkish Lira</w:t>
            </w:r>
          </w:p>
        </w:tc>
        <w:tc>
          <w:tcPr>
            <w:tcW w:w="460"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9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1" w:type="dxa"/>
            <w:tcBorders/>
          </w:tcPr>
          <w:p>
            <w:pPr>
              <w:pStyle w:val="Normal"/>
              <w:rPr>
                <w:rFonts w:ascii="Arial" w:hAnsi="Arial" w:cs="Arial"/>
                <w:color w:val="000000"/>
                <w:sz w:val="16"/>
                <w:lang w:eastAsia="en-US"/>
              </w:rPr>
            </w:pPr>
            <w:r>
              <w:rPr>
                <w:rFonts w:cs="Arial" w:ascii="Arial" w:hAnsi="Arial"/>
                <w:color w:val="000000"/>
                <w:sz w:val="16"/>
                <w:lang w:eastAsia="en-US"/>
              </w:rPr>
              <w:t>Polish CPI</w:t>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409"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1" w:type="dxa"/>
            <w:tcBorders/>
          </w:tcPr>
          <w:p>
            <w:pPr>
              <w:pStyle w:val="Normal"/>
              <w:rPr>
                <w:rFonts w:ascii="Arial" w:hAnsi="Arial" w:cs="Arial"/>
                <w:color w:val="000000"/>
                <w:sz w:val="16"/>
                <w:lang w:eastAsia="en-US"/>
              </w:rPr>
            </w:pPr>
            <w:r>
              <w:rPr>
                <w:rFonts w:cs="Arial" w:ascii="Arial" w:hAnsi="Arial"/>
                <w:color w:val="000000"/>
                <w:sz w:val="16"/>
                <w:lang w:eastAsia="en-US"/>
              </w:rPr>
              <w:t>WTI</w:t>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769"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1"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47" w:hRule="atLeast"/>
        </w:trPr>
        <w:tc>
          <w:tcPr>
            <w:tcW w:w="2160" w:type="dxa"/>
            <w:gridSpan w:val="3"/>
            <w:tcBorders/>
          </w:tcPr>
          <w:p>
            <w:pPr>
              <w:pStyle w:val="Normal"/>
              <w:rPr>
                <w:rFonts w:ascii="Arial" w:hAnsi="Arial" w:cs="Arial"/>
                <w:color w:val="000000"/>
                <w:sz w:val="16"/>
                <w:lang w:eastAsia="en-US"/>
              </w:rPr>
            </w:pPr>
            <w:r>
              <w:rPr>
                <w:rFonts w:cs="Arial" w:ascii="Arial" w:hAnsi="Arial"/>
                <w:color w:val="000000"/>
                <w:sz w:val="16"/>
                <w:lang w:eastAsia="en-US"/>
              </w:rPr>
              <w:t>Venezuelan Bolivar</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9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1" w:type="dxa"/>
            <w:tcBorders/>
          </w:tcPr>
          <w:p>
            <w:pPr>
              <w:pStyle w:val="Normal"/>
              <w:rPr>
                <w:rFonts w:ascii="Arial" w:hAnsi="Arial" w:cs="Arial"/>
                <w:color w:val="000000"/>
                <w:sz w:val="16"/>
                <w:lang w:eastAsia="en-US"/>
              </w:rPr>
            </w:pPr>
            <w:r>
              <w:rPr>
                <w:rFonts w:cs="Arial" w:ascii="Arial" w:hAnsi="Arial"/>
                <w:color w:val="000000"/>
                <w:sz w:val="16"/>
                <w:lang w:eastAsia="en-US"/>
              </w:rPr>
              <w:t>Poslish PPI</w:t>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409"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2790" w:type="dxa"/>
            <w:gridSpan w:val="3"/>
            <w:tcBorders/>
          </w:tcPr>
          <w:p>
            <w:pPr>
              <w:pStyle w:val="Normal"/>
              <w:rPr>
                <w:rFonts w:ascii="Arial" w:hAnsi="Arial" w:cs="Arial"/>
                <w:color w:val="000000"/>
                <w:sz w:val="16"/>
                <w:lang w:eastAsia="en-US"/>
              </w:rPr>
            </w:pPr>
            <w:r>
              <w:rPr>
                <w:rFonts w:cs="Arial" w:ascii="Arial" w:hAnsi="Arial"/>
                <w:color w:val="000000"/>
                <w:sz w:val="16"/>
                <w:lang w:eastAsia="en-US"/>
              </w:rPr>
              <w:t>Zuetina (Libya Jamahiriya) 41 API</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1"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47" w:hRule="atLeast"/>
        </w:trPr>
        <w:tc>
          <w:tcPr>
            <w:tcW w:w="170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460"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9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2021" w:type="dxa"/>
            <w:gridSpan w:val="2"/>
            <w:tcBorders/>
          </w:tcPr>
          <w:p>
            <w:pPr>
              <w:pStyle w:val="Normal"/>
              <w:rPr>
                <w:rFonts w:ascii="Arial" w:hAnsi="Arial" w:cs="Arial"/>
                <w:color w:val="000000"/>
                <w:sz w:val="16"/>
                <w:lang w:eastAsia="en-US"/>
              </w:rPr>
            </w:pPr>
            <w:r>
              <w:rPr>
                <w:rFonts w:cs="Arial" w:ascii="Arial" w:hAnsi="Arial"/>
                <w:color w:val="000000"/>
                <w:sz w:val="16"/>
                <w:lang w:eastAsia="en-US"/>
              </w:rPr>
              <w:t>Retail Price Index</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409"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2790" w:type="dxa"/>
            <w:gridSpan w:val="3"/>
            <w:tcBorders/>
          </w:tcPr>
          <w:p>
            <w:pPr>
              <w:pStyle w:val="Normal"/>
              <w:rPr>
                <w:rFonts w:ascii="Arial" w:hAnsi="Arial" w:cs="Arial"/>
                <w:color w:val="000000"/>
                <w:sz w:val="16"/>
                <w:lang w:eastAsia="en-US"/>
              </w:rPr>
            </w:pPr>
            <w:r>
              <w:rPr>
                <w:rFonts w:cs="Arial" w:ascii="Arial" w:hAnsi="Arial"/>
                <w:color w:val="000000"/>
                <w:sz w:val="16"/>
                <w:lang w:eastAsia="en-US"/>
              </w:rPr>
              <w:t>Arabian Light (Saudi Arabia) 34 API</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1"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47" w:hRule="atLeast"/>
        </w:trPr>
        <w:tc>
          <w:tcPr>
            <w:tcW w:w="170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460"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9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1" w:type="dxa"/>
            <w:tcBorders/>
          </w:tcPr>
          <w:p>
            <w:pPr>
              <w:pStyle w:val="Normal"/>
              <w:rPr>
                <w:rFonts w:ascii="Arial" w:hAnsi="Arial" w:cs="Arial"/>
                <w:color w:val="000000"/>
                <w:sz w:val="16"/>
                <w:lang w:eastAsia="en-US"/>
              </w:rPr>
            </w:pPr>
            <w:r>
              <w:rPr>
                <w:rFonts w:cs="Arial" w:ascii="Arial" w:hAnsi="Arial"/>
                <w:color w:val="000000"/>
                <w:sz w:val="16"/>
                <w:lang w:eastAsia="en-US"/>
              </w:rPr>
              <w:t>US CPI</w:t>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409"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1" w:type="dxa"/>
            <w:tcBorders/>
          </w:tcPr>
          <w:p>
            <w:pPr>
              <w:pStyle w:val="Normal"/>
              <w:rPr>
                <w:rFonts w:ascii="Arial" w:hAnsi="Arial" w:cs="Arial"/>
                <w:color w:val="000000"/>
                <w:sz w:val="16"/>
                <w:lang w:eastAsia="en-US"/>
              </w:rPr>
            </w:pPr>
            <w:r>
              <w:rPr>
                <w:rFonts w:cs="Arial" w:ascii="Arial" w:hAnsi="Arial"/>
                <w:color w:val="000000"/>
                <w:sz w:val="16"/>
                <w:lang w:eastAsia="en-US"/>
              </w:rPr>
              <w:t>Bunker C</w:t>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769"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1"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47" w:hRule="atLeast"/>
        </w:trPr>
        <w:tc>
          <w:tcPr>
            <w:tcW w:w="170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460"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9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2430" w:type="dxa"/>
            <w:gridSpan w:val="3"/>
            <w:tcBorders/>
          </w:tcPr>
          <w:p>
            <w:pPr>
              <w:pStyle w:val="Normal"/>
              <w:rPr>
                <w:rFonts w:ascii="Arial" w:hAnsi="Arial" w:cs="Arial"/>
                <w:color w:val="000000"/>
                <w:sz w:val="16"/>
                <w:lang w:eastAsia="en-US"/>
              </w:rPr>
            </w:pPr>
            <w:r>
              <w:rPr>
                <w:rFonts w:cs="Arial" w:ascii="Arial" w:hAnsi="Arial"/>
                <w:color w:val="000000"/>
                <w:sz w:val="16"/>
                <w:lang w:eastAsia="en-US"/>
              </w:rPr>
              <w:t>US GDP Implicit Price Deflator</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1"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769"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1"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47" w:hRule="atLeast"/>
        </w:trPr>
        <w:tc>
          <w:tcPr>
            <w:tcW w:w="170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460"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9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1" w:type="dxa"/>
            <w:tcBorders/>
          </w:tcPr>
          <w:p>
            <w:pPr>
              <w:pStyle w:val="Normal"/>
              <w:rPr>
                <w:rFonts w:ascii="Arial" w:hAnsi="Arial" w:cs="Arial"/>
                <w:color w:val="000000"/>
                <w:sz w:val="16"/>
                <w:lang w:eastAsia="en-US"/>
              </w:rPr>
            </w:pPr>
            <w:r>
              <w:rPr>
                <w:rFonts w:cs="Arial" w:ascii="Arial" w:hAnsi="Arial"/>
                <w:color w:val="000000"/>
                <w:sz w:val="16"/>
                <w:lang w:eastAsia="en-US"/>
              </w:rPr>
              <w:t>US PPI</w:t>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409"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1"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769"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1"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47" w:hRule="atLeast"/>
        </w:trPr>
        <w:tc>
          <w:tcPr>
            <w:tcW w:w="170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460" w:type="dxa"/>
            <w:gridSpan w:val="2"/>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9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2021" w:type="dxa"/>
            <w:gridSpan w:val="2"/>
            <w:tcBorders/>
          </w:tcPr>
          <w:p>
            <w:pPr>
              <w:pStyle w:val="Normal"/>
              <w:rPr>
                <w:rFonts w:ascii="Arial" w:hAnsi="Arial" w:cs="Arial"/>
                <w:color w:val="000000"/>
                <w:sz w:val="16"/>
                <w:lang w:eastAsia="en-US"/>
              </w:rPr>
            </w:pPr>
            <w:r>
              <w:rPr>
                <w:rFonts w:cs="Arial" w:ascii="Arial" w:hAnsi="Arial"/>
                <w:color w:val="000000"/>
                <w:sz w:val="16"/>
                <w:lang w:eastAsia="en-US"/>
              </w:rPr>
              <w:t>Venezuelan CPI</w:t>
            </w:r>
          </w:p>
        </w:tc>
        <w:tc>
          <w:tcPr>
            <w:tcW w:w="0" w:type="dxa"/>
            <w:vMerge w:val="continue"/>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409"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1"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769"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1"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010"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bl>
    <w:p>
      <w:pPr>
        <w:pStyle w:val="Normal"/>
        <w:spacing w:lineRule="auto" w:line="480"/>
        <w:ind w:firstLine="720" w:end="0"/>
        <w:rPr>
          <w:sz w:val="24"/>
        </w:rPr>
      </w:pPr>
      <w:r>
        <w:rPr>
          <w:sz w:val="24"/>
        </w:rPr>
      </w:r>
    </w:p>
    <w:p>
      <w:pPr>
        <w:pStyle w:val="Normal"/>
        <w:spacing w:lineRule="auto" w:line="480"/>
        <w:ind w:firstLine="720" w:end="0"/>
        <w:rPr>
          <w:sz w:val="24"/>
        </w:rPr>
      </w:pPr>
      <w:r>
        <w:rPr>
          <w:sz w:val="24"/>
        </w:rPr>
      </w:r>
    </w:p>
    <w:p>
      <w:pPr>
        <w:pStyle w:val="Heading3"/>
        <w:rPr/>
      </w:pPr>
      <w:r>
        <w:rPr/>
        <w:t>Enron Energy Services</w:t>
      </w:r>
    </w:p>
    <w:p>
      <w:pPr>
        <w:pStyle w:val="Normal"/>
        <w:spacing w:lineRule="auto" w:line="480"/>
        <w:ind w:firstLine="720" w:end="0"/>
        <w:rPr>
          <w:sz w:val="24"/>
        </w:rPr>
      </w:pPr>
      <w:r>
        <w:rPr>
          <w:sz w:val="24"/>
        </w:rPr>
        <w:t xml:space="preserve">The team began looking at EES in September 2000.  The issue was similar to the issues surrounding other Enron business units, namely to determine the volumetric profile of EES for the duration of the deals in their portfolio.  EES has proven to be the most challenging of all business units.  </w:t>
      </w:r>
    </w:p>
    <w:p>
      <w:pPr>
        <w:pStyle w:val="Normal"/>
        <w:spacing w:lineRule="auto" w:line="480"/>
        <w:ind w:firstLine="720" w:end="0"/>
        <w:rPr>
          <w:sz w:val="24"/>
        </w:rPr>
      </w:pPr>
      <w:r>
        <w:rPr>
          <w:sz w:val="24"/>
        </w:rPr>
        <w:t xml:space="preserve">The business model that EES is built upon is very different than anything the team had encountered up to that point.  Briefly, EES guarantees energy savings to their customers, and obtains a share of the savings.  Although the deal structures are very complex, two assumptions are ubiquitous.  First, deregulation will produce a long-term drop in the price of electricity.  Second, EES has the option to improve the efficiency of various assets to reduce the demand.  Less demand creates less required volumes, and produces savings.  </w:t>
      </w:r>
    </w:p>
    <w:p>
      <w:pPr>
        <w:pStyle w:val="Normal"/>
        <w:spacing w:lineRule="auto" w:line="480"/>
        <w:ind w:firstLine="720" w:end="0"/>
        <w:rPr>
          <w:sz w:val="24"/>
        </w:rPr>
      </w:pPr>
      <w:r>
        <w:rPr>
          <w:sz w:val="24"/>
        </w:rPr>
        <w:t xml:space="preserve">There were many people in EES that graciously took time to answer our lengthy questions.  In no particular order, the main contacts within EES are as follows: Wanda Curry, Neil Hong, Mike Kim, Tom Donovan, Merrideth Eggleston, Rex Young, Jay Lewis, and Marte Sunde.  </w:t>
      </w:r>
    </w:p>
    <w:p>
      <w:pPr>
        <w:pStyle w:val="Normal"/>
        <w:spacing w:lineRule="auto" w:line="480"/>
        <w:ind w:firstLine="720" w:end="0"/>
        <w:rPr>
          <w:sz w:val="24"/>
        </w:rPr>
      </w:pPr>
      <w:r>
        <w:rPr>
          <w:sz w:val="24"/>
        </w:rPr>
        <w:t>There are fewer sources of information regarding EES than there are for the other business units, and obtaining information was far more difficult.  In addition to learning new jargon, we noticed that there was a very large disconnect between the people that were in supervisory roles and the people that actually ran the processes and systems on a daily basis.  The supervisors appeared to paint a standard picture, while the lower level employees showed where the standard picture was wrong, and how certain data were omitted from reports, including the DPR.</w:t>
      </w:r>
    </w:p>
    <w:p>
      <w:pPr>
        <w:pStyle w:val="Normal"/>
        <w:spacing w:lineRule="auto" w:line="480"/>
        <w:ind w:firstLine="720" w:end="0"/>
        <w:rPr>
          <w:sz w:val="24"/>
        </w:rPr>
      </w:pPr>
      <w:r>
        <w:rPr>
          <w:sz w:val="24"/>
        </w:rPr>
        <w:t>One excellent source of information is the original contract documents.  The team was able to obtain copies of a few contracts, including the Lucent deal, and reading them gave us an good understanding of the deal structures and the various options embedded therein.</w:t>
      </w:r>
    </w:p>
    <w:p>
      <w:pPr>
        <w:pStyle w:val="Normal"/>
        <w:spacing w:lineRule="auto" w:line="480"/>
        <w:ind w:firstLine="720" w:end="0"/>
        <w:rPr>
          <w:sz w:val="24"/>
        </w:rPr>
      </w:pPr>
      <w:r>
        <w:rPr>
          <w:sz w:val="24"/>
        </w:rPr>
        <w:t>The VaR system is another potential source, as it has been with other business units.  One would think that the VaR system should contain the volumes that EES has committed to deliver for the life of the deal, but this is not the case.  Tom Donovan indicated that the VaR is only computed on a subset of deals, and the DPR only contains information relating to this subset of deals (?), and does not contain the rest of the volumes.  Furthermore, EES calculates another VaR separately for another group of deals.  These volumes are not contained in RisktRac.</w:t>
      </w:r>
    </w:p>
    <w:p>
      <w:pPr>
        <w:pStyle w:val="Normal"/>
        <w:spacing w:lineRule="auto" w:line="480"/>
        <w:ind w:firstLine="720" w:end="0"/>
        <w:rPr>
          <w:sz w:val="24"/>
        </w:rPr>
      </w:pPr>
      <w:r>
        <w:rPr>
          <w:sz w:val="24"/>
        </w:rPr>
        <w:t>Ideally, information about certain deals may be obtained from the deal structuring teams.  The deal structuring teams within EES build valuation models, which are then submitted to Mark Ruane’s group.  Jay Lewis is responsible for underwriting at EES, and is the contact in EES for models.  He indicated that once a deal is done, the deal is booked in the risk management systems in EES, and the models are effectively discarded.  There is no system like MAPS within EES that serves as a model warehouse, and there is no system in place to update the models.</w:t>
      </w:r>
    </w:p>
    <w:p>
      <w:pPr>
        <w:pStyle w:val="Normal"/>
        <w:spacing w:lineRule="auto" w:line="480"/>
        <w:ind w:firstLine="720" w:end="0"/>
        <w:rPr>
          <w:sz w:val="24"/>
        </w:rPr>
      </w:pPr>
      <w:r>
        <w:rPr>
          <w:sz w:val="24"/>
        </w:rPr>
        <w:t>As has been the case before, Mark Ruane has several models for EES deals.  The models are largely built by his team, and he has allowed us access to some of them.  We have performed exhaustive traces on two of them, and more will be said about this later.</w:t>
      </w:r>
    </w:p>
    <w:p>
      <w:pPr>
        <w:pStyle w:val="Normal"/>
        <w:spacing w:lineRule="auto" w:line="480"/>
        <w:ind w:firstLine="720" w:end="0"/>
        <w:rPr>
          <w:sz w:val="24"/>
        </w:rPr>
      </w:pPr>
      <w:r>
        <w:rPr>
          <w:sz w:val="24"/>
        </w:rPr>
        <w:t xml:space="preserve">The IT systems within EES are another source of information, but unfortunately they are a work in progress, and gaining access to the databases has proven to be very difficult.  Many of the IT systems do not interface with other IT systems, so that information may be duplicated rather than shared.  Wanda Curry is in charge of an effort to address this problem.  Recent work has been concerned with a Global Counterparty system, so that every counterparty that does business with any Enron entity will have the same counterparty ID.  It is our understanding that EES has data for the volumes by individual asset location for the life of the deal.  There are approximately one million records.  More will be said about this later.  </w:t>
      </w:r>
    </w:p>
    <w:p>
      <w:pPr>
        <w:pStyle w:val="Normal"/>
        <w:spacing w:lineRule="auto" w:line="480"/>
        <w:ind w:firstLine="720" w:end="0"/>
        <w:rPr>
          <w:sz w:val="24"/>
        </w:rPr>
      </w:pPr>
      <w:r>
        <w:rPr>
          <w:sz w:val="24"/>
        </w:rPr>
        <w:t xml:space="preserve">Our approach to EES was essentially the same strategy that we have followed before.  We seek the volumetric risk, produce a working prototype, and get feedback from various individuals as we give presentations.  </w:t>
      </w:r>
    </w:p>
    <w:p>
      <w:pPr>
        <w:pStyle w:val="Normal"/>
        <w:spacing w:lineRule="auto" w:line="480"/>
        <w:ind w:firstLine="720" w:end="0"/>
        <w:rPr>
          <w:sz w:val="24"/>
        </w:rPr>
      </w:pPr>
      <w:r>
        <w:rPr>
          <w:sz w:val="24"/>
        </w:rPr>
        <w:t>On a side note, RAC has been investigating EES for some time.  Jay Hachen and Mike Triboulet are working on the effort.  Volumetric risk for RAC is different than the definition that we have adopted.  Their view of volumetric risk is the changes in Energy Asset Management (EAM) volumes that result from delays in construction and unrealized efficiency gains.  EAM volumes are the expected volumes that result from facility improvements.  Throughout this document, volumetric risk will still mean the net open long and short positions.</w:t>
      </w:r>
    </w:p>
    <w:p>
      <w:pPr>
        <w:pStyle w:val="Normal"/>
        <w:spacing w:lineRule="auto" w:line="480"/>
        <w:ind w:firstLine="720" w:end="0"/>
        <w:rPr>
          <w:sz w:val="24"/>
        </w:rPr>
      </w:pPr>
      <w:r>
        <w:rPr>
          <w:sz w:val="24"/>
        </w:rPr>
        <w:t>One effort on our part was to determine a deal tracking chart in order to understand the deal flow and the various entities that should know the volumetric exposure.  Ding Yuan assembled the “unofficial” deal tracking chart, and it is likely to be 80% correct, which is good enough for our purposes.  The chart is located in Appendix C.</w:t>
      </w:r>
    </w:p>
    <w:p>
      <w:pPr>
        <w:pStyle w:val="Normal"/>
        <w:spacing w:lineRule="auto" w:line="480"/>
        <w:ind w:firstLine="720" w:end="0"/>
        <w:rPr>
          <w:sz w:val="24"/>
        </w:rPr>
      </w:pPr>
      <w:r>
        <w:rPr>
          <w:sz w:val="24"/>
        </w:rPr>
        <w:t xml:space="preserve">There appears to be three phases in the deal flow within EES.  First, there is a prebooking process.  There are several different desks that price different aspects of the deal individually, so that the value of the deal is the sum of the components.  Second, the underwriting group led by Jay Lewis constructs a spreadsheet model from the various desks in the pre-booking process.  This model eventually is sent to Mark Ruane’s group for independent valuation.  Third, once the deal is done, the spreadsheet model is passed along to Neil Hong’s group, where the different exposures are taken out of the model, and booked in a variety of risk management systems.  There are several risk management systems under construction: RPS, RGS, and EnPower.  Merrideth Eggleston has produced a document that shows the projected timeline for the IT projects currently underway.  Most are to be finished within six months.  </w:t>
      </w:r>
    </w:p>
    <w:p>
      <w:pPr>
        <w:pStyle w:val="Normal"/>
        <w:spacing w:lineRule="auto" w:line="480"/>
        <w:ind w:firstLine="720" w:end="0"/>
        <w:rPr>
          <w:sz w:val="24"/>
        </w:rPr>
      </w:pPr>
      <w:r>
        <w:rPr>
          <w:sz w:val="24"/>
        </w:rPr>
        <w:t>Our first attempt to understand the volumetric risk associated with an EES deal was a thorough investigation of the Simon deal.  We were able to obtain a copy of the deal contract.  The contract not only provided traditional deal information, but also contained a listing of Simon’s assets, as well as their geographic location.</w:t>
      </w:r>
    </w:p>
    <w:p>
      <w:pPr>
        <w:pStyle w:val="Normal"/>
        <w:spacing w:lineRule="auto" w:line="480"/>
        <w:ind w:firstLine="720" w:end="0"/>
        <w:rPr>
          <w:sz w:val="24"/>
        </w:rPr>
      </w:pPr>
      <w:r>
        <w:rPr>
          <w:sz w:val="24"/>
        </w:rPr>
        <w:t xml:space="preserve">Next we performed a trace through the Simon spreadsheet model.  The model was provided by Mark Ruane.  Starting at the annual projected net income estimates, cell references were traced back through the model all the way to first principles, which in this case were the 1998 historical costs by asset location.  A journal was kept indicating exactly what cells were referenced.  The trace provided a clear understanding of price assumptions, such as the expected electricity forward curve, as well as the expected energy savings from facility improvements.  The model is very detailed, and it is possible to determine the expected savings from gas and from power as well as the projected financing for the EAM construction projects.  </w:t>
      </w:r>
    </w:p>
    <w:p>
      <w:pPr>
        <w:pStyle w:val="Normal"/>
        <w:spacing w:lineRule="auto" w:line="480"/>
        <w:ind w:firstLine="720" w:end="0"/>
        <w:rPr>
          <w:sz w:val="24"/>
        </w:rPr>
      </w:pPr>
      <w:r>
        <w:rPr>
          <w:sz w:val="24"/>
        </w:rPr>
        <w:t>The model contained a sheet with a list of all the totally owned and partially owned assets for Simon, and was similar to the asset list found in the contract.  For every asset location, 1998 energy expenses were listed, and subdivided any number of ways.  1998 was chosen as the benchmark year since this was the year given as the benchmark year in the contract.  It is from these historical costs, and the price assumptions for gas and power that the model is based upon.  Although not explicitly listed in the model, one can use the historical prices for gas and power to calculate the 1998 energy consumption volumes.  Using projected prices, one can also estimate the required volumes going forward for the life of the deal by individual asset location.  This is the finest level of data granularity that we could expect.  We were told that the volumes in the spreadsheet models and the volumes that are been booked in EES’s risk management systems are identical.  We have been unable to verify this claim.</w:t>
      </w:r>
    </w:p>
    <w:p>
      <w:pPr>
        <w:pStyle w:val="Normal"/>
        <w:spacing w:lineRule="auto" w:line="480"/>
        <w:ind w:firstLine="720" w:end="0"/>
        <w:rPr>
          <w:sz w:val="24"/>
        </w:rPr>
      </w:pPr>
      <w:r>
        <w:rPr>
          <w:sz w:val="24"/>
        </w:rPr>
        <w:t xml:space="preserve">Having gained an understanding of a typical deal, we decided to build a reporting prototype as we had done earlier for ENA.  It was decided that the ENA prototype—the interactive bar chart—would be inadequate, as the structure of EES deals was simply too different.  After some consideration, we thought it best to be able to display the information geographically, and incorporate a few drill-down features to permit exposures to be examined all they way down to an individual deal level.  This approach assumes that EES knows its positions by individual asset location, and also knows where that asset is located (its mailing address).  </w:t>
      </w:r>
    </w:p>
    <w:p>
      <w:pPr>
        <w:pStyle w:val="Normal"/>
        <w:spacing w:lineRule="auto" w:line="480"/>
        <w:ind w:firstLine="720" w:end="0"/>
        <w:rPr>
          <w:sz w:val="24"/>
        </w:rPr>
      </w:pPr>
      <w:r>
        <w:rPr>
          <w:sz w:val="24"/>
        </w:rPr>
        <w:t>We decided to concentrate our efforts on EES’s gas positions, since they do not have some of the “issues” that their power positions have.  Furthermore, EES was evaluating EnPower as an alternative to RPS, and we did not want to try to interface with a system that could be discarded in the future.</w:t>
      </w:r>
    </w:p>
    <w:p>
      <w:pPr>
        <w:pStyle w:val="Normal"/>
        <w:spacing w:lineRule="auto" w:line="480"/>
        <w:ind w:firstLine="720" w:end="0"/>
        <w:rPr>
          <w:sz w:val="24"/>
        </w:rPr>
      </w:pPr>
      <w:r>
        <w:rPr>
          <w:sz w:val="24"/>
        </w:rPr>
        <w:t>The prototype is once again coded in Visual Basic, and the source code is listed in Appendix D.  The main difference between this program and the one developed for ENA is the incorporation of several maps.  Maps are accessed through means of an ActiveX control that was purchased from ESRI for $800.  Exposures can be shown on three different map layers:  state, county, and zip code.  Various buttons enable pan and zoom features.  We had great difficulty gaining access to EES’s databases, so we built a database of our own that is based upon the numbers in Mark Ruane’s model.  This was good enough for demonstration purposes, and would give viewers a chance to see what the program could do.  Later on, we could interface with the official database, and we could check the volumes in our database against official estimates.</w:t>
      </w:r>
    </w:p>
    <w:p>
      <w:pPr>
        <w:pStyle w:val="Normal"/>
        <w:spacing w:lineRule="auto" w:line="480"/>
        <w:ind w:firstLine="720" w:end="0"/>
        <w:rPr>
          <w:sz w:val="24"/>
        </w:rPr>
      </w:pPr>
      <w:r>
        <w:rPr>
          <w:sz w:val="24"/>
        </w:rPr>
        <w:t>A presentation was to be made to the EES Risk Forum several months ago, but this has not yet happened.  The proposed presentation is given in Appendix E, and highlights the features of the program.  States, counties, and zip codes are shaded to indicate exposures.  Ideally, one can glance at the map and tell approximately the long/short net open position.  A color key would indicate exposure, and the identification of “hot spots” would be easy.  We have purchased a more sophisticated ActiveX control that will enable production of better months, but at this time have not implemented the new software.</w:t>
      </w:r>
    </w:p>
    <w:p>
      <w:pPr>
        <w:pStyle w:val="Normal"/>
        <w:spacing w:lineRule="auto" w:line="480"/>
        <w:ind w:firstLine="720" w:end="0"/>
        <w:rPr/>
      </w:pPr>
      <w:r>
        <w:rPr>
          <w:sz w:val="24"/>
        </w:rPr>
        <w:t xml:space="preserve">There is a chance to interface with an official database, and the presentation will be more effective if we use EES numbers.  </w:t>
      </w:r>
      <w:r>
        <w:rPr>
          <w:sz w:val="22"/>
        </w:rPr>
        <w:t xml:space="preserve">Lately, Tom Donovan has run a query on RGS and has produced a list of exposures that is 185,000 lines </w:t>
      </w:r>
      <w:r>
        <w:rPr>
          <w:sz w:val="24"/>
        </w:rPr>
        <w:t>long.  There is an attempt underway to link our program to this database, but interfacing the computer systems of EES and Research has been difficult since the IT systems are distinct.  Furthermore, the file is too large to send over Enron’s email system.  This is where the project stands today.  Tracy Davis is the IT contact regarding this issue.</w:t>
      </w:r>
      <w:r>
        <w:br w:type="page"/>
      </w:r>
    </w:p>
    <w:p>
      <w:pPr>
        <w:pStyle w:val="Normal"/>
        <w:spacing w:lineRule="auto" w:line="480"/>
        <w:ind w:firstLine="720" w:end="0"/>
        <w:jc w:val="center"/>
        <w:rPr>
          <w:sz w:val="24"/>
        </w:rPr>
      </w:pPr>
      <w:r>
        <w:rPr>
          <w:sz w:val="24"/>
        </w:rPr>
        <w:t>ASSET LIABILITY MANAGEMENT</w:t>
      </w:r>
    </w:p>
    <w:p>
      <w:pPr>
        <w:pStyle w:val="BodyTextIndent"/>
        <w:rPr/>
      </w:pPr>
      <w:r>
        <w:rPr/>
        <w:t xml:space="preserve">The Asset Liability effort (A/L) was started in September 2000, about the same time that we started on EES, and Li Sun joined the team at this time.  Her primary responsibility was to assist in the A/L effort.  </w:t>
      </w:r>
    </w:p>
    <w:p>
      <w:pPr>
        <w:pStyle w:val="BodyTextIndent"/>
        <w:rPr/>
      </w:pPr>
      <w:r>
        <w:rPr/>
        <w:t xml:space="preserve">The issues here are very different than the issues concerning volumetric risk.  A/L management concerns itself not only with traditional cashflow management, but also with such issues as the possibility of a liquidity crisis or the effect of a downgrade of Enron’s corporate debt.  </w:t>
      </w:r>
    </w:p>
    <w:p>
      <w:pPr>
        <w:pStyle w:val="Normal"/>
        <w:spacing w:lineRule="auto" w:line="480"/>
        <w:ind w:firstLine="720" w:end="0"/>
        <w:rPr>
          <w:sz w:val="24"/>
        </w:rPr>
      </w:pPr>
      <w:r>
        <w:rPr>
          <w:sz w:val="24"/>
        </w:rPr>
        <w:t>After a few brainstorming sessions, we decided to pursue the following broadbased goals.  All efforts are to include offbalance sheet items as well as traditional items.</w:t>
      </w:r>
    </w:p>
    <w:p>
      <w:pPr>
        <w:pStyle w:val="Normal"/>
        <w:numPr>
          <w:ilvl w:val="0"/>
          <w:numId w:val="4"/>
        </w:numPr>
        <w:tabs>
          <w:tab w:val="clear" w:pos="720"/>
          <w:tab w:val="left" w:pos="1080" w:leader="none"/>
        </w:tabs>
        <w:ind w:hanging="360" w:start="1080" w:end="0"/>
        <w:rPr>
          <w:sz w:val="24"/>
        </w:rPr>
      </w:pPr>
      <w:r>
        <w:rPr>
          <w:sz w:val="24"/>
        </w:rPr>
        <w:t xml:space="preserve">Project the set of financial statements over time, and analyze the impact of different risk factors on Enron’s financial statements in a dynamic/static framework under different business scenarios.  </w:t>
      </w:r>
    </w:p>
    <w:p>
      <w:pPr>
        <w:pStyle w:val="Normal"/>
        <w:ind w:start="720" w:end="0"/>
        <w:rPr>
          <w:sz w:val="24"/>
        </w:rPr>
      </w:pPr>
      <w:r>
        <w:rPr>
          <w:sz w:val="24"/>
        </w:rPr>
      </w:r>
    </w:p>
    <w:p>
      <w:pPr>
        <w:pStyle w:val="Normal"/>
        <w:numPr>
          <w:ilvl w:val="0"/>
          <w:numId w:val="4"/>
        </w:numPr>
        <w:tabs>
          <w:tab w:val="clear" w:pos="720"/>
          <w:tab w:val="left" w:pos="1080" w:leader="none"/>
        </w:tabs>
        <w:ind w:hanging="360" w:start="1080" w:end="0"/>
        <w:rPr>
          <w:sz w:val="24"/>
        </w:rPr>
      </w:pPr>
      <w:r>
        <w:rPr>
          <w:sz w:val="24"/>
        </w:rPr>
        <w:t>Determine the impact of interest rate and exchange rate fluctuations on Enron’s balance sheet, cost of debt, and earnings given future anticipated cash flows and unexpected financing needs.</w:t>
      </w:r>
    </w:p>
    <w:p>
      <w:pPr>
        <w:pStyle w:val="Normal"/>
        <w:ind w:start="720" w:end="0"/>
        <w:rPr>
          <w:sz w:val="24"/>
        </w:rPr>
      </w:pPr>
      <w:r>
        <w:rPr>
          <w:sz w:val="24"/>
        </w:rPr>
      </w:r>
    </w:p>
    <w:p>
      <w:pPr>
        <w:pStyle w:val="Normal"/>
        <w:numPr>
          <w:ilvl w:val="0"/>
          <w:numId w:val="4"/>
        </w:numPr>
        <w:tabs>
          <w:tab w:val="clear" w:pos="720"/>
          <w:tab w:val="left" w:pos="1080" w:leader="none"/>
        </w:tabs>
        <w:ind w:hanging="360" w:start="1080" w:end="0"/>
        <w:rPr>
          <w:sz w:val="24"/>
        </w:rPr>
      </w:pPr>
      <w:r>
        <w:rPr>
          <w:sz w:val="24"/>
        </w:rPr>
        <w:t>Determine the optimal maturity of Enron’s debt, fixed/float ratio, and the possibility of a liquidity crisis.</w:t>
      </w:r>
    </w:p>
    <w:p>
      <w:pPr>
        <w:pStyle w:val="Normal"/>
        <w:ind w:start="720" w:end="0"/>
        <w:rPr>
          <w:sz w:val="24"/>
        </w:rPr>
      </w:pPr>
      <w:r>
        <w:rPr>
          <w:sz w:val="24"/>
        </w:rPr>
      </w:r>
    </w:p>
    <w:p>
      <w:pPr>
        <w:pStyle w:val="BodyTextIndent2"/>
        <w:ind w:firstLine="810" w:start="-90" w:end="0"/>
        <w:rPr/>
      </w:pPr>
      <w:r>
        <w:rPr/>
        <w:t>We decided on an initial implementation scheme.  The scheme is as follows:</w:t>
      </w:r>
    </w:p>
    <w:p>
      <w:pPr>
        <w:pStyle w:val="Normal"/>
        <w:numPr>
          <w:ilvl w:val="0"/>
          <w:numId w:val="2"/>
        </w:numPr>
        <w:tabs>
          <w:tab w:val="clear" w:pos="720"/>
          <w:tab w:val="left" w:pos="1080" w:leader="none"/>
        </w:tabs>
        <w:ind w:hanging="360" w:start="1080" w:end="0"/>
        <w:rPr>
          <w:sz w:val="24"/>
        </w:rPr>
      </w:pPr>
      <w:r>
        <w:rPr>
          <w:sz w:val="24"/>
        </w:rPr>
        <w:t xml:space="preserve">Build an economic balance sheet by marking to market the positions of the traditional balance sheet, including off balance sheet items.  </w:t>
      </w:r>
    </w:p>
    <w:p>
      <w:pPr>
        <w:pStyle w:val="Normal"/>
        <w:rPr>
          <w:sz w:val="24"/>
        </w:rPr>
      </w:pPr>
      <w:r>
        <w:rPr>
          <w:sz w:val="24"/>
        </w:rPr>
      </w:r>
    </w:p>
    <w:p>
      <w:pPr>
        <w:pStyle w:val="Normal"/>
        <w:numPr>
          <w:ilvl w:val="0"/>
          <w:numId w:val="2"/>
        </w:numPr>
        <w:tabs>
          <w:tab w:val="clear" w:pos="720"/>
          <w:tab w:val="left" w:pos="1080" w:leader="none"/>
        </w:tabs>
        <w:ind w:hanging="360" w:start="1080" w:end="0"/>
        <w:rPr>
          <w:sz w:val="24"/>
        </w:rPr>
      </w:pPr>
      <w:r>
        <w:rPr>
          <w:sz w:val="24"/>
        </w:rPr>
        <w:t>Project the balance sheet forward in time, and determine its sensitivity to changes in selected economic indices.</w:t>
      </w:r>
    </w:p>
    <w:p>
      <w:pPr>
        <w:pStyle w:val="Normal"/>
        <w:rPr>
          <w:sz w:val="24"/>
        </w:rPr>
      </w:pPr>
      <w:r>
        <w:rPr>
          <w:sz w:val="24"/>
        </w:rPr>
      </w:r>
    </w:p>
    <w:p>
      <w:pPr>
        <w:pStyle w:val="Normal"/>
        <w:numPr>
          <w:ilvl w:val="0"/>
          <w:numId w:val="2"/>
        </w:numPr>
        <w:tabs>
          <w:tab w:val="clear" w:pos="720"/>
          <w:tab w:val="left" w:pos="1080" w:leader="none"/>
        </w:tabs>
        <w:ind w:hanging="360" w:start="1080" w:end="0"/>
        <w:rPr>
          <w:sz w:val="24"/>
        </w:rPr>
      </w:pPr>
      <w:r>
        <w:rPr>
          <w:sz w:val="24"/>
        </w:rPr>
        <w:t>Calculate a statistical measure of the daily cash requirements for Enron and for each business unit.</w:t>
      </w:r>
    </w:p>
    <w:p>
      <w:pPr>
        <w:pStyle w:val="Normal"/>
        <w:rPr>
          <w:sz w:val="24"/>
        </w:rPr>
      </w:pPr>
      <w:r>
        <w:rPr>
          <w:sz w:val="24"/>
        </w:rPr>
      </w:r>
    </w:p>
    <w:p>
      <w:pPr>
        <w:pStyle w:val="Normal"/>
        <w:numPr>
          <w:ilvl w:val="0"/>
          <w:numId w:val="2"/>
        </w:numPr>
        <w:tabs>
          <w:tab w:val="clear" w:pos="720"/>
          <w:tab w:val="left" w:pos="1080" w:leader="none"/>
        </w:tabs>
        <w:ind w:hanging="360" w:start="1080" w:end="0"/>
        <w:rPr>
          <w:sz w:val="24"/>
        </w:rPr>
      </w:pPr>
      <w:r>
        <w:rPr>
          <w:sz w:val="24"/>
        </w:rPr>
        <w:t>Leverage off all existing IT systems and IT efforts underway.</w:t>
      </w:r>
    </w:p>
    <w:p>
      <w:pPr>
        <w:pStyle w:val="Normal"/>
        <w:ind w:start="720" w:end="0"/>
        <w:rPr>
          <w:sz w:val="24"/>
        </w:rPr>
      </w:pPr>
      <w:r>
        <w:rPr>
          <w:sz w:val="24"/>
        </w:rPr>
      </w:r>
    </w:p>
    <w:p>
      <w:pPr>
        <w:pStyle w:val="BodyTextIndent"/>
        <w:rPr/>
      </w:pPr>
      <w:r>
        <w:rPr/>
        <w:t>Our first formal presentation was made to Enron Treasurer Ben Glisan on November 2, 2000, and is contained in Appendix F.  Ben was quite helpful in providing us with contacts and giving us feedback on issues that they think are important.  The items of particular interest are daily cash management techniques, total return swaps, off balance sheet vehicles (special purpose funding vehicles), prepays, employee stock option grants, long term debt management, and guarantees.  Each of these issues is addressed below.</w:t>
      </w:r>
    </w:p>
    <w:p>
      <w:pPr>
        <w:pStyle w:val="BodyTextIndent"/>
        <w:spacing w:lineRule="auto" w:line="240"/>
        <w:rPr/>
      </w:pPr>
      <w:r>
        <w:rPr/>
      </w:r>
    </w:p>
    <w:p>
      <w:pPr>
        <w:pStyle w:val="Normal"/>
        <w:spacing w:lineRule="auto" w:line="480"/>
        <w:ind w:firstLine="720" w:end="0"/>
        <w:rPr>
          <w:sz w:val="24"/>
          <w:u w:val="single"/>
        </w:rPr>
      </w:pPr>
      <w:r>
        <w:rPr>
          <w:sz w:val="24"/>
          <w:u w:val="single"/>
        </w:rPr>
        <w:t>Daily Cash Management</w:t>
      </w:r>
    </w:p>
    <w:p>
      <w:pPr>
        <w:pStyle w:val="BodyTextIndent"/>
        <w:rPr/>
      </w:pPr>
      <w:r>
        <w:rPr/>
        <w:t>Before assessing the impact of a liquidity crisis, we needed to understand how Enron currently manages its daily cash positions corporate-wide, and how Enron handles its daily margin requirements.  Paul Garcia handles all of Enron’s short term borrowing needs.  He is the point of contact within Enron for commercial paper lenders and banks.  It is his responsibility to match daily cash inflows and outflows, and borrow as necessary to cover deficits.  He indicated that there is an effort underway to build a cash management reporting system.  This system is called Treasury Workstation 2000 (TW2000), and is to go into production shortly.</w:t>
      </w:r>
    </w:p>
    <w:p>
      <w:pPr>
        <w:pStyle w:val="Normal"/>
        <w:spacing w:lineRule="auto" w:line="480"/>
        <w:ind w:firstLine="720" w:end="0"/>
        <w:rPr>
          <w:sz w:val="24"/>
        </w:rPr>
      </w:pPr>
      <w:r>
        <w:rPr>
          <w:sz w:val="24"/>
        </w:rPr>
        <w:t>Paul showed us some data relating to Enron’s cash needs.  We noted that they were quite volatile, and clearly demonstrated how dynamic Enron has become.  However, our short term cost of borrowing is high.  We borrow money that we do not need since expected cash inflows are sometimes not reported to Paul.  Through no fault of his own, he borrows money that is unwanted.  TW2000 should help eliminate some of this, but it appears that the interest on this unneeded cash is not assigned to the offending party.</w:t>
      </w:r>
    </w:p>
    <w:p>
      <w:pPr>
        <w:pStyle w:val="Normal"/>
        <w:spacing w:lineRule="auto" w:line="480"/>
        <w:ind w:firstLine="720" w:end="0"/>
        <w:rPr/>
      </w:pPr>
      <w:r>
        <w:rPr>
          <w:sz w:val="24"/>
        </w:rPr>
        <w:t xml:space="preserve">Paul gets the expected daily cash requirement from people scattered throughout the various business units.  Most business units have only a single contact, but we were told that because of its size ENA has two.  Not content just to observe volatility, we wanted to understand what was driving the numbers.  We drilled into the business units to find out where the numbers orginated.  Li has assembled a flowchart that shows the source of some of the daily cash needs, and this is shown on the following page.  After going down three levels, information flow becomes </w:t>
      </w:r>
      <w:r>
        <w:rPr>
          <w:i/>
          <w:sz w:val="24"/>
        </w:rPr>
        <w:t>very</w:t>
      </w:r>
      <w:r>
        <w:rPr>
          <w:sz w:val="24"/>
        </w:rPr>
        <w:t xml:space="preserve"> complex.  We have obtained various cash management reports from various entities on the third level, and these reports have been archived.  </w:t>
      </w:r>
    </w:p>
    <w:p>
      <w:pPr>
        <w:pStyle w:val="Normal"/>
        <w:spacing w:lineRule="auto" w:line="480"/>
        <w:ind w:firstLine="720" w:end="0"/>
        <w:rPr>
          <w:sz w:val="24"/>
        </w:rPr>
      </w:pPr>
      <w:r>
        <w:rPr>
          <w:sz w:val="24"/>
        </w:rPr>
        <w:t xml:space="preserve">Since margin calls were a chief concern of Vince Kaminski, we tunneled down through ENA to find out where these numbers are added into the total ENA cash requirement.  It would be convenient to separate the ENA number into two components: one for trading, and one for everything else.  </w:t>
      </w:r>
    </w:p>
    <w:p>
      <w:pPr>
        <w:pStyle w:val="BodyTextIndent"/>
        <w:rPr/>
      </w:pPr>
      <w:r>
        <w:rPr/>
        <w:t xml:space="preserve">It turns out that the trading component is itself composed of two pieces, namely OTC positions and exchange traded positions.  First, for ENA’s OTC positions, a daily margin report is produced.  This is an output of the Credit Aggregation System, now bundled into RisktRac.  Debbie Brackett is the individual responsible for the report.  The report is approximately 73 pages long.  Enron has signed Master Swap Agreements with most of our trading partners.  These agreements contain provisions for posting collateral requirements.  These requirements may be in the form of cash, securities, or letters of credit.  There are certain counterparties that we may require to post collateral, but have voluntarily waived that right (commercial objection) since this would place undue financial burdens on the counterparty.  This is frequently done to counterparties that are </w:t>
      </w:r>
      <w:r>
        <w:br w:type="page"/>
      </w:r>
    </w:p>
    <w:p>
      <w:pPr>
        <w:pStyle w:val="BodyTextIndent"/>
        <w:numPr>
          <w:ilvl w:val="0"/>
          <w:numId w:val="0"/>
        </w:numPr>
        <w:ind w:start="0" w:hanging="0" w:end="0"/>
        <w:rPr/>
      </w:pPr>
      <w:r>
        <w:rPr/>
      </w:r>
      <w:r>
        <w:br w:type="page"/>
      </w:r>
    </w:p>
    <w:p>
      <w:pPr>
        <w:pStyle w:val="BodyTextIndent"/>
        <w:ind w:end="0"/>
        <w:rPr/>
      </w:pPr>
      <w:r>
        <w:rPr/>
        <w:t>commodity producers, and are delivering to Enron physical volumes.  The logic contained in the Master Swap Agreements has been coded into the Credit Aggregation System, and it is quite simple to test events such as the effect of a downgrade of Enron’s corporate debt on our OTC collateral requirement.</w:t>
      </w:r>
    </w:p>
    <w:p>
      <w:pPr>
        <w:pStyle w:val="Normal"/>
        <w:spacing w:lineRule="auto" w:line="480"/>
        <w:ind w:firstLine="720" w:end="0"/>
        <w:rPr>
          <w:sz w:val="24"/>
        </w:rPr>
      </w:pPr>
      <w:r>
        <w:rPr>
          <w:sz w:val="24"/>
        </w:rPr>
        <w:t>Margin requirements for exchange traded positions are managed by another group.  We met with Patricia Bloom, Greg Whiting, and Booshwa (sp.?).  They produce a report for exchange traded positions by broker, initial margin, and credit line.  We wanted to know if there was any statistical relationship between the price change of natural gas and the margin requirements.  Booshwa said that he had performed such a study, and did not find anything of value.  However, he did not attempt to calculate a VaR statistic for the daily cash requirements for the exchange traded positions.  We have not pusued this matter further.</w:t>
      </w:r>
    </w:p>
    <w:p>
      <w:pPr>
        <w:pStyle w:val="Normal"/>
        <w:spacing w:lineRule="auto" w:line="480"/>
        <w:ind w:firstLine="720" w:end="0"/>
        <w:rPr>
          <w:sz w:val="24"/>
        </w:rPr>
      </w:pPr>
      <w:r>
        <w:rPr>
          <w:sz w:val="24"/>
        </w:rPr>
        <w:t>Regarding everything else, there are several other sources of cash needs within ENA besides the OTC and exchange traded positions.  Li identified several of these and they are given on the flowchart (gas settlements, merchant assets, etc.).  It is important to note that determining the cash needs on a finer level of detail is very difficult, as the number of people involved becomes quite large.  We have archived many documents from these various groups, and these documents are themselves summaries of cash needs for various subgroups.</w:t>
      </w:r>
    </w:p>
    <w:p>
      <w:pPr>
        <w:pStyle w:val="Normal"/>
        <w:spacing w:lineRule="auto" w:line="480"/>
        <w:ind w:firstLine="720" w:end="0"/>
        <w:rPr>
          <w:sz w:val="24"/>
        </w:rPr>
      </w:pPr>
      <w:r>
        <w:rPr>
          <w:sz w:val="24"/>
        </w:rPr>
        <w:t>Given these complexities and obvious time and resource constraints, we decided to approach the problem statistically.  Rather than estimate the cash requirement of the various components and sum them to obtain the total cash requirement, we will perform a Value-at-Risk type calculation.  This will produce a one in twenty day expected cash shortfall.  Most managers are familiar with Value at Risk, so that our statistic would be easy to explain and understand.  We had thought that this would be easy to do, but it has come to our attention that the aggregate cash position in TW2000 contains some spurious elements.  That is, there are some intercompany loans that have yet to be netted out.  Sam Round is working on the problem.</w:t>
      </w:r>
    </w:p>
    <w:p>
      <w:pPr>
        <w:pStyle w:val="Normal"/>
        <w:spacing w:lineRule="auto" w:line="480"/>
        <w:ind w:firstLine="720" w:end="0"/>
        <w:rPr/>
      </w:pPr>
      <w:r>
        <w:rPr>
          <w:sz w:val="24"/>
        </w:rPr>
        <w:t xml:space="preserve">We have produced a model of expected margin calls in a way that takes advantage of the VaR system and the Credit Aggregation system.  The goal of the model is to predict the </w:t>
      </w:r>
      <w:r>
        <w:rPr>
          <w:i/>
          <w:sz w:val="24"/>
        </w:rPr>
        <w:t>cashflow consequences of portfolio changes.</w:t>
      </w:r>
      <w:r>
        <w:rPr>
          <w:sz w:val="24"/>
        </w:rPr>
        <w:t xml:space="preserve">  We are working to produce a distribution to describe the cashflow consequences of price changes for our current trading portfolio.  The principle behind the model is simple.  Assuming our portfolio remains fixed over time, we can simulate price changes and then remark the portfolio to the new simulated prices.  The remarked portfolio can then be fed into the Credit Aggregation system, and a new margin report generated.  Different forecast times may be input into the model, and an option to fix the components of the portfolio or allow portfolio elements to expire has also been included.  We expect the model to be finished shortly.  Xiaojun Mei has been the primary software architect for the model.</w:t>
      </w:r>
    </w:p>
    <w:p>
      <w:pPr>
        <w:pStyle w:val="Normal"/>
        <w:ind w:firstLine="720" w:end="0"/>
        <w:rPr>
          <w:sz w:val="24"/>
        </w:rPr>
      </w:pPr>
      <w:r>
        <w:rPr>
          <w:sz w:val="24"/>
        </w:rPr>
      </w:r>
    </w:p>
    <w:p>
      <w:pPr>
        <w:pStyle w:val="Heading5"/>
        <w:rPr/>
      </w:pPr>
      <w:r>
        <w:rPr/>
        <w:t>Total Return Swaps</w:t>
      </w:r>
    </w:p>
    <w:p>
      <w:pPr>
        <w:pStyle w:val="Normal"/>
        <w:spacing w:lineRule="auto" w:line="480"/>
        <w:ind w:firstLine="720" w:end="0"/>
        <w:rPr>
          <w:sz w:val="24"/>
        </w:rPr>
      </w:pPr>
      <w:r>
        <w:rPr>
          <w:sz w:val="24"/>
        </w:rPr>
        <w:t xml:space="preserve">Total Return Swaps (TRS) present another challenge to asset liability management.  Gaining a good understanding of TRS has proven to be difficult, as the recent TRS are very different from the earlier TRS, and many of the original members of the structuring team have moved on to other things.  Some TRS were done as standalone entities, but most are a part of a larger deal.  </w:t>
      </w:r>
    </w:p>
    <w:p>
      <w:pPr>
        <w:pStyle w:val="Normal"/>
        <w:spacing w:lineRule="auto" w:line="480"/>
        <w:ind w:firstLine="720" w:end="0"/>
        <w:rPr>
          <w:sz w:val="24"/>
        </w:rPr>
      </w:pPr>
      <w:r>
        <w:rPr>
          <w:sz w:val="24"/>
        </w:rPr>
        <w:t>A TRS on an asset serves to monetize the asset, and move the asset off balance sheet.  They take advantage of FASB 125, but FASB 142 has created some significant changes in how the swaps are structured, and has necessitated the development of TRS hedging vehicles.  The advantage of montetizing the asset is to get cash today, which can then be used for current business needs.  The asset may be anything from physical assets such as power plants to items such as expected cashflows from new business lines.</w:t>
      </w:r>
    </w:p>
    <w:p>
      <w:pPr>
        <w:pStyle w:val="BodyTextIndent"/>
        <w:rPr/>
      </w:pPr>
      <w:r>
        <w:rPr/>
        <w:t>There are many TRS and vehicles that contain them, and we have provided a list of many (but not all) of them: Bammel-Looper, Mid-Texas, American Coal, Motown, Corn Husker, Catalytica, EEX, Hawaii 125-0 family, Cerberus, Avici, Bacchus, Riverside family, ETOL, Riva, Margaux, and Braveheart.  Details may be found in Appendix G.</w:t>
      </w:r>
    </w:p>
    <w:p>
      <w:pPr>
        <w:pStyle w:val="Normal"/>
        <w:spacing w:lineRule="auto" w:line="480"/>
        <w:ind w:firstLine="720" w:end="0"/>
        <w:rPr>
          <w:sz w:val="24"/>
        </w:rPr>
      </w:pPr>
      <w:r>
        <w:rPr>
          <w:sz w:val="24"/>
        </w:rPr>
        <w:t>Although the structure varies from swap to swap, the generic structure of a transaction containing a TRS is as follows.  When a deal is entered into, capital is raised through the “Friends of Enron” structure which gets the capital from a bank.  The Friends of Enron may use the money for several different things:</w:t>
      </w:r>
    </w:p>
    <w:p>
      <w:pPr>
        <w:pStyle w:val="Normal"/>
        <w:numPr>
          <w:ilvl w:val="0"/>
          <w:numId w:val="7"/>
        </w:numPr>
        <w:tabs>
          <w:tab w:val="clear" w:pos="720"/>
          <w:tab w:val="left" w:pos="1080" w:leader="none"/>
        </w:tabs>
        <w:ind w:hanging="360" w:start="1080" w:end="0"/>
        <w:rPr>
          <w:sz w:val="24"/>
        </w:rPr>
      </w:pPr>
      <w:r>
        <w:rPr>
          <w:sz w:val="24"/>
        </w:rPr>
        <w:t>Purchase Enron’s existing assets, such as power plants and pipelines.  This moves the asset off balance sheet, and gives Enron cash today.</w:t>
      </w:r>
    </w:p>
    <w:p>
      <w:pPr>
        <w:pStyle w:val="Normal"/>
        <w:numPr>
          <w:ilvl w:val="0"/>
          <w:numId w:val="7"/>
        </w:numPr>
        <w:tabs>
          <w:tab w:val="clear" w:pos="720"/>
          <w:tab w:val="left" w:pos="1080" w:leader="none"/>
        </w:tabs>
        <w:ind w:hanging="360" w:start="1080" w:end="0"/>
        <w:rPr>
          <w:sz w:val="24"/>
        </w:rPr>
      </w:pPr>
      <w:r>
        <w:rPr>
          <w:sz w:val="24"/>
        </w:rPr>
        <w:t xml:space="preserve">Purchase interests in qualified facilities that Enron does not or cannot own.  </w:t>
      </w:r>
    </w:p>
    <w:p>
      <w:pPr>
        <w:pStyle w:val="Normal"/>
        <w:rPr>
          <w:sz w:val="24"/>
        </w:rPr>
      </w:pPr>
      <w:r>
        <w:rPr>
          <w:sz w:val="24"/>
        </w:rPr>
      </w:r>
    </w:p>
    <w:p>
      <w:pPr>
        <w:pStyle w:val="Normal"/>
        <w:spacing w:lineRule="auto" w:line="480"/>
        <w:ind w:firstLine="720" w:end="0"/>
        <w:rPr>
          <w:sz w:val="24"/>
        </w:rPr>
      </w:pPr>
      <w:r>
        <w:rPr>
          <w:sz w:val="24"/>
        </w:rPr>
        <w:t xml:space="preserve">Although Enron may be legally restricted from owning a certain asset, controlling the asset through the Friends of Enron structure gives Enron effective ownership of the asset.  Since the legal restriction is usually in the form of regulation, when and if the regulation changes, Enron may take full legal ownership of the asset.  </w:t>
      </w:r>
    </w:p>
    <w:p>
      <w:pPr>
        <w:pStyle w:val="Normal"/>
        <w:spacing w:lineRule="auto" w:line="480"/>
        <w:ind w:firstLine="720" w:end="0"/>
        <w:rPr>
          <w:sz w:val="24"/>
        </w:rPr>
      </w:pPr>
      <w:r>
        <w:rPr>
          <w:sz w:val="24"/>
        </w:rPr>
        <w:t>At maturity, the asset is auctioned with Enron guaranteeing a minimum sale price.  The minimum guaranteed sale price guarantees a certain rate of return for the counterparty, and is a source of risk for Enron.  Cash flows from the asset are passed up through the structure, and given to Enron after various legal entities deduct certain fees.  Sometimes there is a revolver that is used to smooth out the cash flows from the asset since these cash flows may have considerable variability.  A diagram of a typical structure that contains a TRS is given in Figure 5.</w:t>
      </w:r>
    </w:p>
    <w:p>
      <w:pPr>
        <w:pStyle w:val="Normal"/>
        <w:spacing w:lineRule="auto" w:line="480"/>
        <w:ind w:firstLine="720" w:end="0"/>
        <w:rPr>
          <w:sz w:val="24"/>
        </w:rPr>
      </w:pPr>
      <w:r>
        <w:rPr>
          <w:sz w:val="24"/>
        </w:rPr>
      </w:r>
    </w:p>
    <w:p>
      <w:pPr>
        <w:pStyle w:val="Normal"/>
        <w:spacing w:lineRule="auto" w:line="480"/>
        <w:ind w:firstLine="720" w:end="0"/>
        <w:rPr>
          <w:sz w:val="24"/>
        </w:rPr>
      </w:pPr>
      <w:r>
        <w:rPr>
          <w:sz w:val="24"/>
        </w:rPr>
      </w:r>
    </w:p>
    <w:p>
      <w:pPr>
        <w:pStyle w:val="Normal"/>
        <w:rPr/>
      </w:pPr>
      <w:bookmarkStart w:id="0" w:name="_1042629933"/>
      <w:bookmarkStart w:id="1" w:name="_1042629888"/>
      <w:bookmarkStart w:id="2" w:name="_1042629821"/>
      <w:bookmarkStart w:id="3" w:name="_1042531500"/>
      <w:bookmarkStart w:id="4" w:name="_1042531068"/>
      <w:bookmarkEnd w:id="0"/>
      <w:bookmarkEnd w:id="1"/>
      <w:bookmarkEnd w:id="2"/>
      <w:bookmarkEnd w:id="3"/>
      <w:bookmarkEnd w:id="4"/>
      <w:r>
        <w:rPr/>
        <w:object w:dxaOrig="14400" w:dyaOrig="10800">
          <v:shapetype id="_x0000_tole_rId9" coordsize="21600,21600" o:spt="ole_rId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 type="_x0000_tole_rId9" style="width:447.3pt;height:356.85pt" filled="f" o:ole="">
            <v:imagedata r:id="rId10" o:title=""/>
          </v:shape>
          <o:OLEObject Type="Embed" ProgID="PowerPoint.Show.12" ShapeID="ole_rId9" DrawAspect="Content" ObjectID="_1524815273" r:id="rId9"/>
        </w:object>
      </w:r>
      <w:r>
        <w:rPr>
          <w:sz w:val="24"/>
        </w:rPr>
        <w:t xml:space="preserve">Figure 5.  Typical structure containing a total return swap.  The swap is between Enron and the Bank. </w:t>
      </w:r>
    </w:p>
    <w:p>
      <w:pPr>
        <w:pStyle w:val="Normal"/>
        <w:spacing w:lineRule="auto" w:line="480"/>
        <w:ind w:firstLine="720" w:end="0"/>
        <w:rPr>
          <w:sz w:val="24"/>
        </w:rPr>
      </w:pPr>
      <w:r>
        <w:rPr>
          <w:sz w:val="24"/>
        </w:rPr>
      </w:r>
    </w:p>
    <w:p>
      <w:pPr>
        <w:pStyle w:val="BodyTextIndent"/>
        <w:rPr/>
      </w:pPr>
      <w:r>
        <w:rPr/>
        <w:t>Several individuals proved to be most helpful with the TRS effort.  Eugenio Perez calculates the Value-at-Risk for several TRS.  The model he uses to do this calculation was developed by Research some time ago.  The model essentially treats the TRS as an interest rate swap, so that the VaR is a result of innovations in the LIBOR curve.  Terminal asset value and cash flows from the various assets are taken as deterministic inputs to the model.  Although his model did not prove to be useful, it did give an idea of the cash flows surrounding the swaps.  Eugenio has taken a position with Enron in Japan, and at this time it is unknown who will take his place.</w:t>
      </w:r>
    </w:p>
    <w:p>
      <w:pPr>
        <w:pStyle w:val="Normal"/>
        <w:spacing w:lineRule="auto" w:line="480"/>
        <w:ind w:firstLine="720" w:end="0"/>
        <w:rPr>
          <w:sz w:val="24"/>
        </w:rPr>
      </w:pPr>
      <w:r>
        <w:rPr>
          <w:sz w:val="24"/>
        </w:rPr>
        <w:t xml:space="preserve">Gail Tholen keeps track of certain TRS for accounting purposes, and maintains the most comprehensive list of TRS that we found.  She was very helpful, was able to explain certain aspects of the swaps, and gave us a list of contacts within Enron.  She mentioned that one recurring problem is that Enron’s auditors keep raising certain issues that would require disclosures on Enron’s SEC filings.  This almost always occurs at the end of the quarter.  More will be said about this later. </w:t>
      </w:r>
    </w:p>
    <w:p>
      <w:pPr>
        <w:pStyle w:val="Normal"/>
        <w:spacing w:lineRule="auto" w:line="480"/>
        <w:ind w:firstLine="720" w:end="0"/>
        <w:rPr>
          <w:sz w:val="24"/>
        </w:rPr>
      </w:pPr>
      <w:r>
        <w:rPr>
          <w:sz w:val="24"/>
        </w:rPr>
        <w:t>Alan Quaintance also performs certain accounting functions around some of the recent TRS.  Lately he has been concerned with the Avici TRS, and has taken time to walk us through the structure.</w:t>
      </w:r>
    </w:p>
    <w:p>
      <w:pPr>
        <w:pStyle w:val="Normal"/>
        <w:spacing w:lineRule="auto" w:line="480"/>
        <w:ind w:firstLine="720" w:end="0"/>
        <w:rPr>
          <w:sz w:val="24"/>
        </w:rPr>
      </w:pPr>
      <w:r>
        <w:rPr>
          <w:sz w:val="24"/>
        </w:rPr>
        <w:t>Finally, we have a few of the legal documents for certain deals containing TRS.  Although the documents contain much information, most of the information contained in the documents is irrelevant for our purposes.  Certain of the documents have been printed, but most have not since they tend to be quite lengthy.  The documents have been archived on the local hard drive.</w:t>
      </w:r>
    </w:p>
    <w:p>
      <w:pPr>
        <w:pStyle w:val="Normal"/>
        <w:spacing w:lineRule="auto" w:line="480"/>
        <w:ind w:firstLine="720" w:end="0"/>
        <w:rPr>
          <w:sz w:val="24"/>
        </w:rPr>
      </w:pPr>
      <w:r>
        <w:rPr>
          <w:sz w:val="24"/>
        </w:rPr>
        <w:t xml:space="preserve">We were hoping to find a risk book for the TRS, but were unable to do so, and were told by several people that such a book does not exist.  It seems as though no single person understands Enron’s TRS exposure, or understands the risks that Enron is exposed to.  In short, no single individual has been assigned ownership of this issue.  </w:t>
      </w:r>
    </w:p>
    <w:p>
      <w:pPr>
        <w:pStyle w:val="Normal"/>
        <w:spacing w:lineRule="auto" w:line="480"/>
        <w:ind w:firstLine="720" w:end="0"/>
        <w:rPr>
          <w:sz w:val="24"/>
        </w:rPr>
      </w:pPr>
      <w:r>
        <w:rPr>
          <w:sz w:val="24"/>
        </w:rPr>
        <w:t>To assist in this matter, we decided to create a TRS book.  The book is an Excel workbook where each worksheet contains information about a particular TRS.  It takes as input such things as interest rate curves, terminal asset values, asset volatility estimates, and asset cash flows.  The most recent version is named “TRS aggregate model, Feb 12 2001.xls” and is in the following location: C:\Winnt\Profiles\kkindal\Project\Asset Liability.</w:t>
      </w:r>
    </w:p>
    <w:p>
      <w:pPr>
        <w:pStyle w:val="Normal"/>
        <w:spacing w:lineRule="auto" w:line="480"/>
        <w:ind w:firstLine="720" w:end="0"/>
        <w:rPr>
          <w:sz w:val="24"/>
        </w:rPr>
      </w:pPr>
      <w:r>
        <w:rPr>
          <w:sz w:val="24"/>
        </w:rPr>
        <w:t>Projected asset cash flows are expected to be the output of a traditional DCF model, which should be obtained from Mark Ruane’s group.  It is possible to link the risk book to the DCF model, but as of Feb 1, 2001, we have not done so.  Such an effort requires a significant amount of time and commitment from various parties and we wanted to make certain that all parties felt comfortable with the approach that we have taken.  In the mean time, we have elected to simply type in project asset cash flows, if they exist.</w:t>
      </w:r>
    </w:p>
    <w:p>
      <w:pPr>
        <w:pStyle w:val="Normal"/>
        <w:spacing w:lineRule="auto" w:line="480"/>
        <w:ind w:firstLine="720" w:end="0"/>
        <w:rPr>
          <w:sz w:val="24"/>
        </w:rPr>
      </w:pPr>
      <w:r>
        <w:rPr>
          <w:sz w:val="24"/>
        </w:rPr>
        <w:t>A macro has been written that generates the two payment streams associated with the swaps.  Asset cash flows, interest payments, expected auction proceeds, and principal repayments are all clearly tabulated.  Additional swaps may be inserted with little difficulty, and all models update automatically with respect to time.  A chart displaying the payment streams is also generated.  Source code for the macro has been included in Appendix H.</w:t>
      </w:r>
    </w:p>
    <w:p>
      <w:pPr>
        <w:pStyle w:val="Normal"/>
        <w:spacing w:lineRule="auto" w:line="480"/>
        <w:ind w:firstLine="720" w:end="0"/>
        <w:rPr>
          <w:sz w:val="24"/>
        </w:rPr>
      </w:pPr>
      <w:r>
        <w:rPr>
          <w:sz w:val="24"/>
        </w:rPr>
        <w:t>We booked a few of the swaps for which we knew the cashflows.  The swaps booked are as follows: EOG warrants, Avici, and EEPI.  The aggregate payment stream is shown in Figure 6.</w:t>
      </w:r>
      <w:r>
        <w:br w:type="page"/>
      </w:r>
    </w:p>
    <w:p>
      <w:pPr>
        <w:pStyle w:val="Normal"/>
        <w:spacing w:lineRule="auto" w:line="480"/>
        <w:ind w:firstLine="720" w:end="0"/>
        <w:rPr>
          <w:sz w:val="24"/>
        </w:rPr>
      </w:pPr>
      <w:r>
        <w:object w:dxaOrig="14081" w:dyaOrig="9473">
          <v:shapetype id="_x0000_tole_rId11" coordsize="21600,21600" o:spt="ole_rId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 type="_x0000_tole_rId11" style="position:absolute;margin-left:-46.8pt;margin-top:15.6pt;width:518.6pt;height:467.25pt;mso-wrap-distance-left:9.05pt;mso-wrap-distance-right:9.05pt;mso-position-horizontal-relative:text;mso-position-vertical-relative:text" filled="f" o:ole="">
            <v:imagedata r:id="rId12" o:title=""/>
            <w10:wrap type="topAndBottom"/>
          </v:shape>
          <o:OLEObject Type="Embed" ProgID="Excel.Sheet.12" ShapeID="ole_rId11" DrawAspect="Content" ObjectID="_320939328" r:id="rId11"/>
        </w:object>
      </w:r>
      <w:r>
        <w:rPr>
          <w:sz w:val="24"/>
        </w:rPr>
        <w:t>Figure 6.  Aggregate payment stream for the EOG, Avici, and EEPI TRS.</w:t>
      </w:r>
      <w:r>
        <w:br w:type="page"/>
      </w:r>
    </w:p>
    <w:p>
      <w:pPr>
        <w:pStyle w:val="Normal"/>
        <w:spacing w:lineRule="auto" w:line="480"/>
        <w:ind w:firstLine="720" w:end="0"/>
        <w:rPr>
          <w:sz w:val="24"/>
        </w:rPr>
      </w:pPr>
      <w:r>
        <w:rPr>
          <w:sz w:val="24"/>
        </w:rPr>
        <w:t>It is possible to modify the source code in the macro to calculate a VaR statistic.  We were not asked to do so, and did not pursue the matter further.</w:t>
      </w:r>
    </w:p>
    <w:p>
      <w:pPr>
        <w:pStyle w:val="Normal"/>
        <w:spacing w:lineRule="auto" w:line="480"/>
        <w:ind w:firstLine="720" w:end="0"/>
        <w:rPr>
          <w:sz w:val="24"/>
        </w:rPr>
      </w:pPr>
      <w:r>
        <w:rPr>
          <w:sz w:val="24"/>
        </w:rPr>
        <w:t xml:space="preserve">Currently, the only major item left to do is to actually book the swaps.  Alan Quaintance has indicated that his group will do this for all TRS.  He expects to do this by the end of the next quarter.  We would book the swaps ourselves, but we have been unable to obtain the necessary information.  </w:t>
      </w:r>
    </w:p>
    <w:p>
      <w:pPr>
        <w:pStyle w:val="Normal"/>
        <w:spacing w:lineRule="auto" w:line="480"/>
        <w:ind w:firstLine="720" w:end="0"/>
        <w:rPr>
          <w:sz w:val="24"/>
        </w:rPr>
      </w:pPr>
      <w:r>
        <w:rPr>
          <w:sz w:val="24"/>
        </w:rPr>
        <w:t xml:space="preserve">Part of the motivation for accurately valuing TRS comes from our auditors.  Evidently, if the TRS has a non-zero mark to market, then there are certain disclosures required by GAAP.  At the end of each quarter, and especially at year end, the auditors raise the same questions.  The TRS risk book should address most of the issues raised by the auditors.  Furthermore, hedging vehicles such as Raptor should assist in keeping a zero value to the TRS.  </w:t>
      </w:r>
    </w:p>
    <w:p>
      <w:pPr>
        <w:pStyle w:val="Normal"/>
        <w:ind w:firstLine="720" w:end="0"/>
        <w:rPr>
          <w:sz w:val="24"/>
        </w:rPr>
      </w:pPr>
      <w:r>
        <w:rPr>
          <w:sz w:val="24"/>
        </w:rPr>
      </w:r>
    </w:p>
    <w:p>
      <w:pPr>
        <w:pStyle w:val="Normal"/>
        <w:spacing w:lineRule="auto" w:line="480"/>
        <w:ind w:firstLine="720" w:end="0"/>
        <w:rPr>
          <w:sz w:val="24"/>
          <w:u w:val="single"/>
        </w:rPr>
      </w:pPr>
      <w:r>
        <w:rPr>
          <w:sz w:val="24"/>
          <w:u w:val="single"/>
        </w:rPr>
        <w:t>Off balance sheet items (Special Purpose Funding Vehicles)</w:t>
      </w:r>
    </w:p>
    <w:p>
      <w:pPr>
        <w:pStyle w:val="Normal"/>
        <w:spacing w:lineRule="auto" w:line="480"/>
        <w:ind w:firstLine="720" w:end="0"/>
        <w:rPr>
          <w:sz w:val="24"/>
        </w:rPr>
      </w:pPr>
      <w:r>
        <w:rPr>
          <w:sz w:val="24"/>
        </w:rPr>
        <w:t>One of the more interesting aspects of the asset liability effort concerned the innovative approach that Enron uses to move items off balance sheet.  We hoped that there would be a central repository of information for the vehicles, but we were unable to locate one.  For our purposes, the items of interest centered on the risk associated with the vehicles, and the assets contained therein.  We focused our efforts on three vehicles: Whitewing, Marlin, and Hawaii 125-O.  Li Sun has prepared a summary for several of the different vehicles, and this is included in Appendix I.</w:t>
      </w:r>
    </w:p>
    <w:p>
      <w:pPr>
        <w:pStyle w:val="BodyTextIndent"/>
        <w:rPr/>
      </w:pPr>
      <w:r>
        <w:rPr/>
        <w:t xml:space="preserve">Gordon McKilop is the finance manager for Whitewing.  He was able to not only walk us through the vehicle, but also gave us a copy of the prospectus.  Whitewing is a vehicle that is designed to monetize Enron’s international assets.  The asset is sold to Whitewing with the understanding that Enron will buy the asset from Whitewing at some point in the future at a price slightly greater than the original sale price.  Whitewing gets its funds to buy the asset from Enron from third party creditors.  To protect the creditors against any decline in the value of the assets, Enron has placed a fair amount of collateral in the form of preferred shares into Whitewing. </w:t>
      </w:r>
    </w:p>
    <w:p>
      <w:pPr>
        <w:pStyle w:val="Normal"/>
        <w:spacing w:lineRule="auto" w:line="480"/>
        <w:ind w:firstLine="720" w:end="0"/>
        <w:rPr/>
      </w:pPr>
      <w:r>
        <w:rPr>
          <w:sz w:val="24"/>
        </w:rPr>
        <w:t xml:space="preserve">The prospectus contains information relating to various risk mitigation strategies.  There are </w:t>
      </w:r>
      <w:r>
        <w:rPr>
          <w:i/>
          <w:sz w:val="24"/>
        </w:rPr>
        <w:t>trigger events</w:t>
      </w:r>
      <w:r>
        <w:rPr>
          <w:sz w:val="24"/>
        </w:rPr>
        <w:t xml:space="preserve"> that allow the counterparty to force liquidation of the collateral.  Briefly, the preferred shares will be converted to common shares and sold with the proceeds going to the creditors.  There are several different kinds of trigger events, and some of them are tied directly to Enron’s corporate credit rating and share price.  There are three major Whitewing trigger events.  They are…</w:t>
      </w:r>
    </w:p>
    <w:p>
      <w:pPr>
        <w:pStyle w:val="Normal"/>
        <w:numPr>
          <w:ilvl w:val="0"/>
          <w:numId w:val="6"/>
        </w:numPr>
        <w:rPr>
          <w:sz w:val="24"/>
        </w:rPr>
      </w:pPr>
      <w:r>
        <w:rPr>
          <w:sz w:val="24"/>
        </w:rPr>
        <w:t>an interest payment default;</w:t>
      </w:r>
    </w:p>
    <w:p>
      <w:pPr>
        <w:pStyle w:val="Normal"/>
        <w:ind w:start="720" w:end="0"/>
        <w:rPr>
          <w:sz w:val="24"/>
        </w:rPr>
      </w:pPr>
      <w:r>
        <w:rPr>
          <w:sz w:val="24"/>
        </w:rPr>
      </w:r>
    </w:p>
    <w:p>
      <w:pPr>
        <w:pStyle w:val="Normal"/>
        <w:numPr>
          <w:ilvl w:val="0"/>
          <w:numId w:val="6"/>
        </w:numPr>
        <w:rPr>
          <w:sz w:val="24"/>
        </w:rPr>
      </w:pPr>
      <w:r>
        <w:rPr>
          <w:sz w:val="24"/>
        </w:rPr>
        <w:t>at least 120 days prior to the Maturity Date (January 15, 2003), an amount generated from the sale of Enron equity or equity securities sufficient to redeem the outstanding Senior Notes has not been deposited;</w:t>
      </w:r>
    </w:p>
    <w:p>
      <w:pPr>
        <w:pStyle w:val="Normal"/>
        <w:ind w:start="720" w:end="0"/>
        <w:rPr>
          <w:sz w:val="24"/>
        </w:rPr>
      </w:pPr>
      <w:r>
        <w:rPr>
          <w:sz w:val="24"/>
        </w:rPr>
      </w:r>
    </w:p>
    <w:p>
      <w:pPr>
        <w:pStyle w:val="Normal"/>
        <w:numPr>
          <w:ilvl w:val="0"/>
          <w:numId w:val="6"/>
        </w:numPr>
        <w:rPr>
          <w:sz w:val="24"/>
        </w:rPr>
      </w:pPr>
      <w:r>
        <w:rPr>
          <w:sz w:val="24"/>
        </w:rPr>
        <w:t xml:space="preserve">a downgrading of Enron senior unsecured debt to below BBB- </w:t>
      </w:r>
      <w:r>
        <w:rPr>
          <w:b/>
          <w:i/>
          <w:sz w:val="24"/>
        </w:rPr>
        <w:t>and</w:t>
      </w:r>
      <w:r>
        <w:rPr>
          <w:sz w:val="24"/>
        </w:rPr>
        <w:t xml:space="preserve"> a decline in the closing price of Enron common stock to below $59.78 for three consecutive trading days.</w:t>
      </w:r>
    </w:p>
    <w:p>
      <w:pPr>
        <w:pStyle w:val="Normal"/>
        <w:rPr>
          <w:sz w:val="24"/>
        </w:rPr>
      </w:pPr>
      <w:r>
        <w:rPr>
          <w:sz w:val="24"/>
        </w:rPr>
      </w:r>
    </w:p>
    <w:p>
      <w:pPr>
        <w:pStyle w:val="BodyTextIndent"/>
        <w:rPr/>
      </w:pPr>
      <w:r>
        <w:rPr/>
        <w:t>We focused our efforts on determining the likelihood of occurrence of event three.  Event three has two components.  Although it is difficult to determine the probability of both of these components happening simultaneously, we have calculated the probability of them happening individually, and then take an educated guess at the likelihood of their simultaneous occurrence.</w:t>
      </w:r>
    </w:p>
    <w:p>
      <w:pPr>
        <w:pStyle w:val="BodyTextIndent"/>
        <w:rPr/>
      </w:pPr>
      <w:r>
        <w:rPr/>
        <w:t>The probability of the share price falling below a certain level was calculated using the standard assumptions of Computational Finance.  That is, the stock price follows a geometric brownian motion process, and the volatility is estimated from quoted option prices.  Figure 7 contains a chart showing the likelihood of the stock price trading below $59.78 over the next few years.  The initial stock price is assumed to be $70.  Once the time horizon is extended to beyond one year, the occurrence of the stock portion of the trigger event is non-negligible.  The model, “Stock price probability.xls”, is located at the following location: C:\Winnt\Programs\kkindal\Project\Asset Liability\Trigger prob.</w:t>
      </w:r>
    </w:p>
    <w:p>
      <w:pPr>
        <w:pStyle w:val="BodyTextIndent"/>
        <w:rPr/>
      </w:pPr>
      <w:r>
        <w:rPr/>
      </w:r>
    </w:p>
    <w:p>
      <w:pPr>
        <w:pStyle w:val="BodyTextIndent"/>
        <w:rPr>
          <w:lang w:val="en-CA"/>
        </w:rPr>
      </w:pPr>
      <w:r>
        <w:rPr>
          <w:lang w:val="en-CA"/>
        </w:rPr>
        <w:drawing>
          <wp:anchor behindDoc="0" distT="0" distB="0" distL="114935" distR="114935" simplePos="0" locked="0" layoutInCell="1" allowOverlap="1" relativeHeight="86">
            <wp:simplePos x="0" y="0"/>
            <wp:positionH relativeFrom="column">
              <wp:posOffset>228600</wp:posOffset>
            </wp:positionH>
            <wp:positionV relativeFrom="paragraph">
              <wp:posOffset>137160</wp:posOffset>
            </wp:positionV>
            <wp:extent cx="5114925" cy="4200525"/>
            <wp:effectExtent l="0" t="0" r="0" b="0"/>
            <wp:wrapNone/>
            <wp:docPr id="2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 descr="" title=""/>
                    <pic:cNvPicPr>
                      <a:picLocks noChangeAspect="1" noChangeArrowheads="1"/>
                    </pic:cNvPicPr>
                  </pic:nvPicPr>
                  <pic:blipFill>
                    <a:blip r:embed="rId13"/>
                    <a:srcRect l="-7" t="-9" r="-7" b="-9"/>
                    <a:stretch>
                      <a:fillRect/>
                    </a:stretch>
                  </pic:blipFill>
                  <pic:spPr bwMode="auto">
                    <a:xfrm>
                      <a:off x="0" y="0"/>
                      <a:ext cx="5114925" cy="4200525"/>
                    </a:xfrm>
                    <a:prstGeom prst="rect">
                      <a:avLst/>
                    </a:prstGeom>
                    <a:noFill/>
                  </pic:spPr>
                </pic:pic>
              </a:graphicData>
            </a:graphic>
          </wp:anchor>
        </w:drawing>
      </w:r>
    </w:p>
    <w:p>
      <w:pPr>
        <w:pStyle w:val="BodyTextIndent"/>
        <w:rPr/>
      </w:pPr>
      <w:r>
        <w:rPr/>
      </w:r>
    </w:p>
    <w:p>
      <w:pPr>
        <w:pStyle w:val="BodyTextIndent"/>
        <w:rPr/>
      </w:pPr>
      <w:r>
        <w:rPr/>
      </w:r>
    </w:p>
    <w:p>
      <w:pPr>
        <w:pStyle w:val="BodyTextIndent"/>
        <w:rPr/>
      </w:pPr>
      <w:r>
        <w:rPr/>
      </w:r>
    </w:p>
    <w:p>
      <w:pPr>
        <w:pStyle w:val="BodyTextIndent"/>
        <w:rPr/>
      </w:pPr>
      <w:r>
        <w:rPr/>
      </w:r>
    </w:p>
    <w:p>
      <w:pPr>
        <w:pStyle w:val="BodyTextIndent"/>
        <w:rPr/>
      </w:pPr>
      <w:r>
        <w:rPr/>
      </w:r>
    </w:p>
    <w:p>
      <w:pPr>
        <w:pStyle w:val="BodyTextIndent"/>
        <w:rPr/>
      </w:pPr>
      <w:r>
        <w:rPr/>
      </w:r>
    </w:p>
    <w:p>
      <w:pPr>
        <w:pStyle w:val="BodyTextIndent"/>
        <w:rPr/>
      </w:pPr>
      <w:r>
        <w:rPr/>
      </w:r>
    </w:p>
    <w:p>
      <w:pPr>
        <w:pStyle w:val="BodyTextIndent"/>
        <w:rPr/>
      </w:pPr>
      <w:r>
        <w:rPr/>
      </w:r>
    </w:p>
    <w:p>
      <w:pPr>
        <w:pStyle w:val="BodyTextIndent"/>
        <w:rPr/>
      </w:pPr>
      <w:r>
        <w:rPr/>
      </w:r>
    </w:p>
    <w:p>
      <w:pPr>
        <w:pStyle w:val="BodyTextIndent"/>
        <w:rPr/>
      </w:pPr>
      <w:r>
        <w:rPr/>
      </w:r>
    </w:p>
    <w:p>
      <w:pPr>
        <w:pStyle w:val="BodyTextIndent"/>
        <w:rPr/>
      </w:pPr>
      <w:r>
        <w:rPr/>
      </w:r>
    </w:p>
    <w:p>
      <w:pPr>
        <w:pStyle w:val="BodyTextIndent"/>
        <w:rPr/>
      </w:pPr>
      <w:r>
        <w:rPr/>
      </w:r>
    </w:p>
    <w:p>
      <w:pPr>
        <w:pStyle w:val="BodyTextIndent"/>
        <w:spacing w:lineRule="auto" w:line="240"/>
        <w:rPr/>
      </w:pPr>
      <w:r>
        <w:rPr/>
        <w:t>Figure 7.  The probability of Enron stock trading three consecutive days below $59.78.  Implied volatility was determined to be 32.76%.</w:t>
      </w:r>
      <w:r>
        <w:br w:type="page"/>
      </w:r>
    </w:p>
    <w:p>
      <w:pPr>
        <w:pStyle w:val="BodyTextIndent"/>
        <w:rPr/>
      </w:pPr>
      <w:r>
        <w:rPr/>
        <w:t>It is possible to incorporate real time data streams into this model to perform real time estimation of this portion of the trigger event if desired.  For this particular SFV, we estimate the chance of Enron stock trading below $59.78 for three consecutive trading days to be 5.05%.</w:t>
      </w:r>
    </w:p>
    <w:p>
      <w:pPr>
        <w:pStyle w:val="Normal"/>
        <w:spacing w:lineRule="auto" w:line="480"/>
        <w:ind w:firstLine="720" w:end="0"/>
        <w:rPr>
          <w:sz w:val="24"/>
        </w:rPr>
      </w:pPr>
      <w:r>
        <w:rPr>
          <w:sz w:val="24"/>
        </w:rPr>
        <w:t xml:space="preserve">As for the credit piece, we chose to use the credit migration tables from S&amp;P.  The tables were obtained from the January 31, 2001 edition of the S&amp;P publication CreditWeek, “Corporate Defaults: Will Things Get Worse Before They Get Better”. </w:t>
      </w:r>
    </w:p>
    <w:p>
      <w:pPr>
        <w:pStyle w:val="Normal"/>
        <w:spacing w:lineRule="auto" w:line="480"/>
        <w:ind w:firstLine="720" w:end="0"/>
        <w:rPr>
          <w:sz w:val="24"/>
        </w:rPr>
      </w:pPr>
      <w:r>
        <w:rPr>
          <w:sz w:val="24"/>
        </w:rPr>
        <w:t>Treating Enron as a generic BBB rated company, there is a 4.19% chance for our debt to be downgraded below BBB in the next year.  The credit migration scheme is shown in Figure 8.</w:t>
      </w:r>
    </w:p>
    <w:p>
      <w:pPr>
        <w:pStyle w:val="Normal"/>
        <w:spacing w:lineRule="auto" w:line="480"/>
        <w:ind w:firstLine="720" w:end="0"/>
        <w:rPr>
          <w:sz w:val="24"/>
        </w:rPr>
      </w:pPr>
      <w:r>
        <w:rPr>
          <w:sz w:val="24"/>
        </w:rPr>
      </w:r>
    </w:p>
    <w:p>
      <w:pPr>
        <w:pStyle w:val="Normal"/>
        <w:spacing w:lineRule="auto" w:line="480"/>
        <w:ind w:firstLine="720" w:end="0"/>
        <w:rPr>
          <w:sz w:val="24"/>
        </w:rPr>
      </w:pPr>
      <w:r>
        <w:rPr>
          <w:sz w:val="24"/>
        </w:rPr>
      </w:r>
    </w:p>
    <w:p>
      <w:pPr>
        <w:pStyle w:val="Normal"/>
        <w:spacing w:lineRule="auto" w:line="480"/>
        <w:ind w:firstLine="720" w:end="0"/>
        <w:rPr>
          <w:sz w:val="24"/>
        </w:rPr>
      </w:pPr>
      <w:r>
        <w:rPr>
          <w:sz w:val="24"/>
        </w:rPr>
      </w:r>
    </w:p>
    <w:tbl>
      <w:tblPr>
        <w:tblW w:w="6636" w:type="dxa"/>
        <w:jc w:val="center"/>
        <w:tblInd w:w="0" w:type="dxa"/>
        <w:tblLayout w:type="fixed"/>
        <w:tblCellMar>
          <w:top w:w="0" w:type="dxa"/>
          <w:start w:w="30" w:type="dxa"/>
          <w:bottom w:w="0" w:type="dxa"/>
          <w:end w:w="30" w:type="dxa"/>
        </w:tblCellMar>
      </w:tblPr>
      <w:tblGrid>
        <w:gridCol w:w="1387"/>
        <w:gridCol w:w="583"/>
        <w:gridCol w:w="584"/>
        <w:gridCol w:w="583"/>
        <w:gridCol w:w="583"/>
        <w:gridCol w:w="583"/>
        <w:gridCol w:w="583"/>
        <w:gridCol w:w="584"/>
        <w:gridCol w:w="583"/>
        <w:gridCol w:w="583"/>
      </w:tblGrid>
      <w:tr>
        <w:trPr>
          <w:trHeight w:val="247" w:hRule="atLeast"/>
        </w:trPr>
        <w:tc>
          <w:tcPr>
            <w:tcW w:w="1387"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583"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584"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583"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333" w:type="dxa"/>
            <w:gridSpan w:val="4"/>
            <w:tcBorders/>
          </w:tcPr>
          <w:p>
            <w:pPr>
              <w:pStyle w:val="Normal"/>
              <w:jc w:val="center"/>
              <w:rPr>
                <w:rFonts w:ascii="Arial" w:hAnsi="Arial" w:cs="Arial"/>
                <w:color w:val="000000"/>
                <w:sz w:val="16"/>
                <w:lang w:eastAsia="en-US"/>
              </w:rPr>
            </w:pPr>
            <w:r>
              <w:rPr>
                <w:rFonts w:cs="Arial" w:ascii="Arial" w:hAnsi="Arial"/>
                <w:color w:val="000000"/>
                <w:sz w:val="16"/>
                <w:lang w:eastAsia="en-US"/>
              </w:rPr>
              <w:t>Rating at year end (%)</w:t>
            </w:r>
          </w:p>
        </w:tc>
        <w:tc>
          <w:tcPr>
            <w:tcW w:w="0" w:type="dxa"/>
            <w:vMerge w:val="continue"/>
            <w:tcBorders/>
          </w:tcPr>
          <w:p>
            <w:pPr>
              <w:pStyle w:val="Normal"/>
              <w:snapToGrid w:val="false"/>
              <w:jc w:val="center"/>
              <w:rPr>
                <w:rFonts w:ascii="Arial" w:hAnsi="Arial" w:cs="Arial"/>
                <w:color w:val="000000"/>
                <w:sz w:val="16"/>
                <w:lang w:eastAsia="en-US"/>
              </w:rPr>
            </w:pPr>
            <w:r>
              <w:rPr>
                <w:rFonts w:cs="Arial" w:ascii="Arial" w:hAnsi="Arial"/>
                <w:color w:val="000000"/>
                <w:sz w:val="16"/>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0" w:type="dxa"/>
            <w:vMerge w:val="continue"/>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583"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583" w:type="dxa"/>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247" w:hRule="atLeast"/>
        </w:trPr>
        <w:tc>
          <w:tcPr>
            <w:tcW w:w="1387" w:type="dxa"/>
            <w:tcBorders/>
          </w:tcPr>
          <w:p>
            <w:pPr>
              <w:pStyle w:val="Normal"/>
              <w:jc w:val="center"/>
              <w:rPr>
                <w:rFonts w:ascii="Arial" w:hAnsi="Arial" w:cs="Arial"/>
                <w:b/>
                <w:color w:val="000000"/>
                <w:lang w:eastAsia="en-US"/>
              </w:rPr>
            </w:pPr>
            <w:r>
              <w:rPr>
                <w:rFonts w:cs="Arial" w:ascii="Arial" w:hAnsi="Arial"/>
                <w:b/>
                <w:color w:val="000000"/>
                <w:lang w:eastAsia="en-US"/>
              </w:rPr>
              <w:t>Initial Rating</w:t>
            </w:r>
          </w:p>
        </w:tc>
        <w:tc>
          <w:tcPr>
            <w:tcW w:w="583" w:type="dxa"/>
            <w:tcBorders>
              <w:bottom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AAA</w:t>
            </w:r>
          </w:p>
        </w:tc>
        <w:tc>
          <w:tcPr>
            <w:tcW w:w="584" w:type="dxa"/>
            <w:tcBorders>
              <w:bottom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AA</w:t>
            </w:r>
          </w:p>
        </w:tc>
        <w:tc>
          <w:tcPr>
            <w:tcW w:w="583" w:type="dxa"/>
            <w:tcBorders>
              <w:bottom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A</w:t>
            </w:r>
          </w:p>
        </w:tc>
        <w:tc>
          <w:tcPr>
            <w:tcW w:w="583" w:type="dxa"/>
            <w:tcBorders>
              <w:bottom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BBB</w:t>
            </w:r>
          </w:p>
        </w:tc>
        <w:tc>
          <w:tcPr>
            <w:tcW w:w="583" w:type="dxa"/>
            <w:tcBorders>
              <w:bottom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BB</w:t>
            </w:r>
          </w:p>
        </w:tc>
        <w:tc>
          <w:tcPr>
            <w:tcW w:w="583" w:type="dxa"/>
            <w:tcBorders>
              <w:bottom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B</w:t>
            </w:r>
          </w:p>
        </w:tc>
        <w:tc>
          <w:tcPr>
            <w:tcW w:w="584" w:type="dxa"/>
            <w:tcBorders>
              <w:bottom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CCC</w:t>
            </w:r>
          </w:p>
        </w:tc>
        <w:tc>
          <w:tcPr>
            <w:tcW w:w="583" w:type="dxa"/>
            <w:tcBorders>
              <w:bottom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D</w:t>
            </w:r>
          </w:p>
        </w:tc>
        <w:tc>
          <w:tcPr>
            <w:tcW w:w="583" w:type="dxa"/>
            <w:tcBorders>
              <w:bottom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N.R.</w:t>
            </w:r>
          </w:p>
        </w:tc>
      </w:tr>
      <w:tr>
        <w:trPr>
          <w:trHeight w:val="247" w:hRule="atLeast"/>
        </w:trPr>
        <w:tc>
          <w:tcPr>
            <w:tcW w:w="1387" w:type="dxa"/>
            <w:tcBorders>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AAA</w:t>
            </w:r>
          </w:p>
        </w:tc>
        <w:tc>
          <w:tcPr>
            <w:tcW w:w="583" w:type="dxa"/>
            <w:tcBorders/>
          </w:tcPr>
          <w:p>
            <w:pPr>
              <w:pStyle w:val="Normal"/>
              <w:jc w:val="center"/>
              <w:rPr>
                <w:rFonts w:ascii="Arial" w:hAnsi="Arial" w:cs="Arial"/>
                <w:color w:val="000000"/>
                <w:sz w:val="16"/>
                <w:lang w:eastAsia="en-US"/>
              </w:rPr>
            </w:pPr>
            <w:r>
              <w:rPr>
                <w:rFonts w:cs="Arial" w:ascii="Arial" w:hAnsi="Arial"/>
                <w:color w:val="000000"/>
                <w:sz w:val="16"/>
                <w:lang w:eastAsia="en-US"/>
              </w:rPr>
              <w:t>90.34</w:t>
            </w:r>
          </w:p>
        </w:tc>
        <w:tc>
          <w:tcPr>
            <w:tcW w:w="584" w:type="dxa"/>
            <w:tcBorders/>
          </w:tcPr>
          <w:p>
            <w:pPr>
              <w:pStyle w:val="Normal"/>
              <w:jc w:val="center"/>
              <w:rPr>
                <w:rFonts w:ascii="Arial" w:hAnsi="Arial" w:cs="Arial"/>
                <w:color w:val="000000"/>
                <w:sz w:val="16"/>
                <w:lang w:eastAsia="en-US"/>
              </w:rPr>
            </w:pPr>
            <w:r>
              <w:rPr>
                <w:rFonts w:cs="Arial" w:ascii="Arial" w:hAnsi="Arial"/>
                <w:color w:val="000000"/>
                <w:sz w:val="16"/>
                <w:lang w:eastAsia="en-US"/>
              </w:rPr>
              <w:t>5.62</w:t>
            </w:r>
          </w:p>
        </w:tc>
        <w:tc>
          <w:tcPr>
            <w:tcW w:w="583" w:type="dxa"/>
            <w:tcBorders/>
          </w:tcPr>
          <w:p>
            <w:pPr>
              <w:pStyle w:val="Normal"/>
              <w:jc w:val="center"/>
              <w:rPr>
                <w:rFonts w:ascii="Arial" w:hAnsi="Arial" w:cs="Arial"/>
                <w:color w:val="000000"/>
                <w:sz w:val="16"/>
                <w:lang w:eastAsia="en-US"/>
              </w:rPr>
            </w:pPr>
            <w:r>
              <w:rPr>
                <w:rFonts w:cs="Arial" w:ascii="Arial" w:hAnsi="Arial"/>
                <w:color w:val="000000"/>
                <w:sz w:val="16"/>
                <w:lang w:eastAsia="en-US"/>
              </w:rPr>
              <w:t>0.39</w:t>
            </w:r>
          </w:p>
        </w:tc>
        <w:tc>
          <w:tcPr>
            <w:tcW w:w="583" w:type="dxa"/>
            <w:tcBorders/>
          </w:tcPr>
          <w:p>
            <w:pPr>
              <w:pStyle w:val="Normal"/>
              <w:jc w:val="center"/>
              <w:rPr>
                <w:rFonts w:ascii="Arial" w:hAnsi="Arial" w:cs="Arial"/>
                <w:color w:val="000000"/>
                <w:sz w:val="16"/>
                <w:lang w:eastAsia="en-US"/>
              </w:rPr>
            </w:pPr>
            <w:r>
              <w:rPr>
                <w:rFonts w:cs="Arial" w:ascii="Arial" w:hAnsi="Arial"/>
                <w:color w:val="000000"/>
                <w:sz w:val="16"/>
                <w:lang w:eastAsia="en-US"/>
              </w:rPr>
              <w:t>0.08</w:t>
            </w:r>
          </w:p>
        </w:tc>
        <w:tc>
          <w:tcPr>
            <w:tcW w:w="583" w:type="dxa"/>
            <w:tcBorders/>
          </w:tcPr>
          <w:p>
            <w:pPr>
              <w:pStyle w:val="Normal"/>
              <w:jc w:val="center"/>
              <w:rPr>
                <w:rFonts w:ascii="Arial" w:hAnsi="Arial" w:cs="Arial"/>
                <w:color w:val="000000"/>
                <w:sz w:val="16"/>
                <w:lang w:eastAsia="en-US"/>
              </w:rPr>
            </w:pPr>
            <w:r>
              <w:rPr>
                <w:rFonts w:cs="Arial" w:ascii="Arial" w:hAnsi="Arial"/>
                <w:color w:val="000000"/>
                <w:sz w:val="16"/>
                <w:lang w:eastAsia="en-US"/>
              </w:rPr>
              <w:t>0.03</w:t>
            </w:r>
          </w:p>
        </w:tc>
        <w:tc>
          <w:tcPr>
            <w:tcW w:w="583" w:type="dxa"/>
            <w:tcBorders/>
          </w:tcPr>
          <w:p>
            <w:pPr>
              <w:pStyle w:val="Normal"/>
              <w:jc w:val="center"/>
              <w:rPr>
                <w:rFonts w:ascii="Arial" w:hAnsi="Arial" w:cs="Arial"/>
                <w:color w:val="000000"/>
                <w:sz w:val="16"/>
                <w:lang w:eastAsia="en-US"/>
              </w:rPr>
            </w:pPr>
            <w:r>
              <w:rPr>
                <w:rFonts w:cs="Arial" w:ascii="Arial" w:hAnsi="Arial"/>
                <w:color w:val="000000"/>
                <w:sz w:val="16"/>
                <w:lang w:eastAsia="en-US"/>
              </w:rPr>
              <w:t>0</w:t>
            </w:r>
          </w:p>
        </w:tc>
        <w:tc>
          <w:tcPr>
            <w:tcW w:w="584" w:type="dxa"/>
            <w:tcBorders/>
          </w:tcPr>
          <w:p>
            <w:pPr>
              <w:pStyle w:val="Normal"/>
              <w:jc w:val="center"/>
              <w:rPr>
                <w:rFonts w:ascii="Arial" w:hAnsi="Arial" w:cs="Arial"/>
                <w:color w:val="000000"/>
                <w:sz w:val="16"/>
                <w:lang w:eastAsia="en-US"/>
              </w:rPr>
            </w:pPr>
            <w:r>
              <w:rPr>
                <w:rFonts w:cs="Arial" w:ascii="Arial" w:hAnsi="Arial"/>
                <w:color w:val="000000"/>
                <w:sz w:val="16"/>
                <w:lang w:eastAsia="en-US"/>
              </w:rPr>
              <w:t>0</w:t>
            </w:r>
          </w:p>
        </w:tc>
        <w:tc>
          <w:tcPr>
            <w:tcW w:w="583" w:type="dxa"/>
            <w:tcBorders/>
          </w:tcPr>
          <w:p>
            <w:pPr>
              <w:pStyle w:val="Normal"/>
              <w:jc w:val="center"/>
              <w:rPr>
                <w:rFonts w:ascii="Arial" w:hAnsi="Arial" w:cs="Arial"/>
                <w:color w:val="000000"/>
                <w:sz w:val="16"/>
                <w:lang w:eastAsia="en-US"/>
              </w:rPr>
            </w:pPr>
            <w:r>
              <w:rPr>
                <w:rFonts w:cs="Arial" w:ascii="Arial" w:hAnsi="Arial"/>
                <w:color w:val="000000"/>
                <w:sz w:val="16"/>
                <w:lang w:eastAsia="en-US"/>
              </w:rPr>
              <w:t>0</w:t>
            </w:r>
          </w:p>
        </w:tc>
        <w:tc>
          <w:tcPr>
            <w:tcW w:w="583" w:type="dxa"/>
            <w:tcBorders/>
          </w:tcPr>
          <w:p>
            <w:pPr>
              <w:pStyle w:val="Normal"/>
              <w:jc w:val="center"/>
              <w:rPr>
                <w:rFonts w:ascii="Arial" w:hAnsi="Arial" w:cs="Arial"/>
                <w:color w:val="000000"/>
                <w:sz w:val="16"/>
                <w:lang w:eastAsia="en-US"/>
              </w:rPr>
            </w:pPr>
            <w:r>
              <w:rPr>
                <w:rFonts w:cs="Arial" w:ascii="Arial" w:hAnsi="Arial"/>
                <w:color w:val="000000"/>
                <w:sz w:val="16"/>
                <w:lang w:eastAsia="en-US"/>
              </w:rPr>
              <w:t>3.54</w:t>
            </w:r>
          </w:p>
        </w:tc>
      </w:tr>
      <w:tr>
        <w:trPr>
          <w:trHeight w:val="247" w:hRule="atLeast"/>
        </w:trPr>
        <w:tc>
          <w:tcPr>
            <w:tcW w:w="1387" w:type="dxa"/>
            <w:tcBorders>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AA</w:t>
            </w:r>
          </w:p>
        </w:tc>
        <w:tc>
          <w:tcPr>
            <w:tcW w:w="583" w:type="dxa"/>
            <w:tcBorders/>
          </w:tcPr>
          <w:p>
            <w:pPr>
              <w:pStyle w:val="Normal"/>
              <w:jc w:val="center"/>
              <w:rPr>
                <w:rFonts w:ascii="Arial" w:hAnsi="Arial" w:cs="Arial"/>
                <w:color w:val="000000"/>
                <w:sz w:val="16"/>
                <w:lang w:eastAsia="en-US"/>
              </w:rPr>
            </w:pPr>
            <w:r>
              <w:rPr>
                <w:rFonts w:cs="Arial" w:ascii="Arial" w:hAnsi="Arial"/>
                <w:color w:val="000000"/>
                <w:sz w:val="16"/>
                <w:lang w:eastAsia="en-US"/>
              </w:rPr>
              <w:t>0.64</w:t>
            </w:r>
          </w:p>
        </w:tc>
        <w:tc>
          <w:tcPr>
            <w:tcW w:w="584" w:type="dxa"/>
            <w:tcBorders/>
          </w:tcPr>
          <w:p>
            <w:pPr>
              <w:pStyle w:val="Normal"/>
              <w:jc w:val="center"/>
              <w:rPr>
                <w:rFonts w:ascii="Arial" w:hAnsi="Arial" w:cs="Arial"/>
                <w:color w:val="000000"/>
                <w:sz w:val="16"/>
                <w:lang w:eastAsia="en-US"/>
              </w:rPr>
            </w:pPr>
            <w:r>
              <w:rPr>
                <w:rFonts w:cs="Arial" w:ascii="Arial" w:hAnsi="Arial"/>
                <w:color w:val="000000"/>
                <w:sz w:val="16"/>
                <w:lang w:eastAsia="en-US"/>
              </w:rPr>
              <w:t>88.78</w:t>
            </w:r>
          </w:p>
        </w:tc>
        <w:tc>
          <w:tcPr>
            <w:tcW w:w="583" w:type="dxa"/>
            <w:tcBorders/>
          </w:tcPr>
          <w:p>
            <w:pPr>
              <w:pStyle w:val="Normal"/>
              <w:jc w:val="center"/>
              <w:rPr>
                <w:rFonts w:ascii="Arial" w:hAnsi="Arial" w:cs="Arial"/>
                <w:color w:val="000000"/>
                <w:sz w:val="16"/>
                <w:lang w:eastAsia="en-US"/>
              </w:rPr>
            </w:pPr>
            <w:r>
              <w:rPr>
                <w:rFonts w:cs="Arial" w:ascii="Arial" w:hAnsi="Arial"/>
                <w:color w:val="000000"/>
                <w:sz w:val="16"/>
                <w:lang w:eastAsia="en-US"/>
              </w:rPr>
              <w:t>6.72</w:t>
            </w:r>
          </w:p>
        </w:tc>
        <w:tc>
          <w:tcPr>
            <w:tcW w:w="583" w:type="dxa"/>
            <w:tcBorders/>
          </w:tcPr>
          <w:p>
            <w:pPr>
              <w:pStyle w:val="Normal"/>
              <w:jc w:val="center"/>
              <w:rPr>
                <w:rFonts w:ascii="Arial" w:hAnsi="Arial" w:cs="Arial"/>
                <w:color w:val="000000"/>
                <w:sz w:val="16"/>
                <w:lang w:eastAsia="en-US"/>
              </w:rPr>
            </w:pPr>
            <w:r>
              <w:rPr>
                <w:rFonts w:cs="Arial" w:ascii="Arial" w:hAnsi="Arial"/>
                <w:color w:val="000000"/>
                <w:sz w:val="16"/>
                <w:lang w:eastAsia="en-US"/>
              </w:rPr>
              <w:t>0.47</w:t>
            </w:r>
          </w:p>
        </w:tc>
        <w:tc>
          <w:tcPr>
            <w:tcW w:w="583" w:type="dxa"/>
            <w:tcBorders/>
          </w:tcPr>
          <w:p>
            <w:pPr>
              <w:pStyle w:val="Normal"/>
              <w:jc w:val="center"/>
              <w:rPr>
                <w:rFonts w:ascii="Arial" w:hAnsi="Arial" w:cs="Arial"/>
                <w:color w:val="000000"/>
                <w:sz w:val="16"/>
                <w:lang w:eastAsia="en-US"/>
              </w:rPr>
            </w:pPr>
            <w:r>
              <w:rPr>
                <w:rFonts w:cs="Arial" w:ascii="Arial" w:hAnsi="Arial"/>
                <w:color w:val="000000"/>
                <w:sz w:val="16"/>
                <w:lang w:eastAsia="en-US"/>
              </w:rPr>
              <w:t>0.06</w:t>
            </w:r>
          </w:p>
        </w:tc>
        <w:tc>
          <w:tcPr>
            <w:tcW w:w="583" w:type="dxa"/>
            <w:tcBorders/>
          </w:tcPr>
          <w:p>
            <w:pPr>
              <w:pStyle w:val="Normal"/>
              <w:jc w:val="center"/>
              <w:rPr>
                <w:rFonts w:ascii="Arial" w:hAnsi="Arial" w:cs="Arial"/>
                <w:color w:val="000000"/>
                <w:sz w:val="16"/>
                <w:lang w:eastAsia="en-US"/>
              </w:rPr>
            </w:pPr>
            <w:r>
              <w:rPr>
                <w:rFonts w:cs="Arial" w:ascii="Arial" w:hAnsi="Arial"/>
                <w:color w:val="000000"/>
                <w:sz w:val="16"/>
                <w:lang w:eastAsia="en-US"/>
              </w:rPr>
              <w:t>0.09</w:t>
            </w:r>
          </w:p>
        </w:tc>
        <w:tc>
          <w:tcPr>
            <w:tcW w:w="584" w:type="dxa"/>
            <w:tcBorders/>
          </w:tcPr>
          <w:p>
            <w:pPr>
              <w:pStyle w:val="Normal"/>
              <w:jc w:val="center"/>
              <w:rPr>
                <w:rFonts w:ascii="Arial" w:hAnsi="Arial" w:cs="Arial"/>
                <w:color w:val="000000"/>
                <w:sz w:val="16"/>
                <w:lang w:eastAsia="en-US"/>
              </w:rPr>
            </w:pPr>
            <w:r>
              <w:rPr>
                <w:rFonts w:cs="Arial" w:ascii="Arial" w:hAnsi="Arial"/>
                <w:color w:val="000000"/>
                <w:sz w:val="16"/>
                <w:lang w:eastAsia="en-US"/>
              </w:rPr>
              <w:t>0.02</w:t>
            </w:r>
          </w:p>
        </w:tc>
        <w:tc>
          <w:tcPr>
            <w:tcW w:w="583" w:type="dxa"/>
            <w:tcBorders/>
          </w:tcPr>
          <w:p>
            <w:pPr>
              <w:pStyle w:val="Normal"/>
              <w:jc w:val="center"/>
              <w:rPr>
                <w:rFonts w:ascii="Arial" w:hAnsi="Arial" w:cs="Arial"/>
                <w:color w:val="000000"/>
                <w:sz w:val="16"/>
                <w:lang w:eastAsia="en-US"/>
              </w:rPr>
            </w:pPr>
            <w:r>
              <w:rPr>
                <w:rFonts w:cs="Arial" w:ascii="Arial" w:hAnsi="Arial"/>
                <w:color w:val="000000"/>
                <w:sz w:val="16"/>
                <w:lang w:eastAsia="en-US"/>
              </w:rPr>
              <w:t>0.01</w:t>
            </w:r>
          </w:p>
        </w:tc>
        <w:tc>
          <w:tcPr>
            <w:tcW w:w="583" w:type="dxa"/>
            <w:tcBorders/>
          </w:tcPr>
          <w:p>
            <w:pPr>
              <w:pStyle w:val="Normal"/>
              <w:jc w:val="center"/>
              <w:rPr>
                <w:rFonts w:ascii="Arial" w:hAnsi="Arial" w:cs="Arial"/>
                <w:color w:val="000000"/>
                <w:sz w:val="16"/>
                <w:lang w:eastAsia="en-US"/>
              </w:rPr>
            </w:pPr>
            <w:r>
              <w:rPr>
                <w:rFonts w:cs="Arial" w:ascii="Arial" w:hAnsi="Arial"/>
                <w:color w:val="000000"/>
                <w:sz w:val="16"/>
                <w:lang w:eastAsia="en-US"/>
              </w:rPr>
              <w:t>3.21</w:t>
            </w:r>
          </w:p>
        </w:tc>
      </w:tr>
      <w:tr>
        <w:trPr>
          <w:trHeight w:val="247" w:hRule="atLeast"/>
        </w:trPr>
        <w:tc>
          <w:tcPr>
            <w:tcW w:w="1387" w:type="dxa"/>
            <w:tcBorders>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w:t>
            </w:r>
          </w:p>
        </w:tc>
        <w:tc>
          <w:tcPr>
            <w:tcW w:w="583" w:type="dxa"/>
            <w:tcBorders/>
          </w:tcPr>
          <w:p>
            <w:pPr>
              <w:pStyle w:val="Normal"/>
              <w:jc w:val="center"/>
              <w:rPr>
                <w:rFonts w:ascii="Arial" w:hAnsi="Arial" w:cs="Arial"/>
                <w:color w:val="000000"/>
                <w:sz w:val="16"/>
                <w:lang w:eastAsia="en-US"/>
              </w:rPr>
            </w:pPr>
            <w:r>
              <w:rPr>
                <w:rFonts w:cs="Arial" w:ascii="Arial" w:hAnsi="Arial"/>
                <w:color w:val="000000"/>
                <w:sz w:val="16"/>
                <w:lang w:eastAsia="en-US"/>
              </w:rPr>
              <w:t>0.07</w:t>
            </w:r>
          </w:p>
        </w:tc>
        <w:tc>
          <w:tcPr>
            <w:tcW w:w="584" w:type="dxa"/>
            <w:tcBorders/>
          </w:tcPr>
          <w:p>
            <w:pPr>
              <w:pStyle w:val="Normal"/>
              <w:jc w:val="center"/>
              <w:rPr>
                <w:rFonts w:ascii="Arial" w:hAnsi="Arial" w:cs="Arial"/>
                <w:color w:val="000000"/>
                <w:sz w:val="16"/>
                <w:lang w:eastAsia="en-US"/>
              </w:rPr>
            </w:pPr>
            <w:r>
              <w:rPr>
                <w:rFonts w:cs="Arial" w:ascii="Arial" w:hAnsi="Arial"/>
                <w:color w:val="000000"/>
                <w:sz w:val="16"/>
                <w:lang w:eastAsia="en-US"/>
              </w:rPr>
              <w:t>2.16</w:t>
            </w:r>
          </w:p>
        </w:tc>
        <w:tc>
          <w:tcPr>
            <w:tcW w:w="583" w:type="dxa"/>
            <w:tcBorders/>
          </w:tcPr>
          <w:p>
            <w:pPr>
              <w:pStyle w:val="Normal"/>
              <w:jc w:val="center"/>
              <w:rPr>
                <w:rFonts w:ascii="Arial" w:hAnsi="Arial" w:cs="Arial"/>
                <w:color w:val="000000"/>
                <w:sz w:val="16"/>
                <w:lang w:eastAsia="en-US"/>
              </w:rPr>
            </w:pPr>
            <w:r>
              <w:rPr>
                <w:rFonts w:cs="Arial" w:ascii="Arial" w:hAnsi="Arial"/>
                <w:color w:val="000000"/>
                <w:sz w:val="16"/>
                <w:lang w:eastAsia="en-US"/>
              </w:rPr>
              <w:t>87.94</w:t>
            </w:r>
          </w:p>
        </w:tc>
        <w:tc>
          <w:tcPr>
            <w:tcW w:w="583" w:type="dxa"/>
            <w:tcBorders/>
          </w:tcPr>
          <w:p>
            <w:pPr>
              <w:pStyle w:val="Normal"/>
              <w:jc w:val="center"/>
              <w:rPr>
                <w:rFonts w:ascii="Arial" w:hAnsi="Arial" w:cs="Arial"/>
                <w:color w:val="000000"/>
                <w:sz w:val="16"/>
                <w:lang w:eastAsia="en-US"/>
              </w:rPr>
            </w:pPr>
            <w:r>
              <w:rPr>
                <w:rFonts w:cs="Arial" w:ascii="Arial" w:hAnsi="Arial"/>
                <w:color w:val="000000"/>
                <w:sz w:val="16"/>
                <w:lang w:eastAsia="en-US"/>
              </w:rPr>
              <w:t>4.97</w:t>
            </w:r>
          </w:p>
        </w:tc>
        <w:tc>
          <w:tcPr>
            <w:tcW w:w="583" w:type="dxa"/>
            <w:tcBorders/>
          </w:tcPr>
          <w:p>
            <w:pPr>
              <w:pStyle w:val="Normal"/>
              <w:jc w:val="center"/>
              <w:rPr>
                <w:rFonts w:ascii="Arial" w:hAnsi="Arial" w:cs="Arial"/>
                <w:color w:val="000000"/>
                <w:sz w:val="16"/>
                <w:lang w:eastAsia="en-US"/>
              </w:rPr>
            </w:pPr>
            <w:r>
              <w:rPr>
                <w:rFonts w:cs="Arial" w:ascii="Arial" w:hAnsi="Arial"/>
                <w:color w:val="000000"/>
                <w:sz w:val="16"/>
                <w:lang w:eastAsia="en-US"/>
              </w:rPr>
              <w:t>0.47</w:t>
            </w:r>
          </w:p>
        </w:tc>
        <w:tc>
          <w:tcPr>
            <w:tcW w:w="583" w:type="dxa"/>
            <w:tcBorders/>
          </w:tcPr>
          <w:p>
            <w:pPr>
              <w:pStyle w:val="Normal"/>
              <w:jc w:val="center"/>
              <w:rPr>
                <w:rFonts w:ascii="Arial" w:hAnsi="Arial" w:cs="Arial"/>
                <w:color w:val="000000"/>
                <w:sz w:val="16"/>
                <w:lang w:eastAsia="en-US"/>
              </w:rPr>
            </w:pPr>
            <w:r>
              <w:rPr>
                <w:rFonts w:cs="Arial" w:ascii="Arial" w:hAnsi="Arial"/>
                <w:color w:val="000000"/>
                <w:sz w:val="16"/>
                <w:lang w:eastAsia="en-US"/>
              </w:rPr>
              <w:t>0.19</w:t>
            </w:r>
          </w:p>
        </w:tc>
        <w:tc>
          <w:tcPr>
            <w:tcW w:w="584" w:type="dxa"/>
            <w:tcBorders/>
          </w:tcPr>
          <w:p>
            <w:pPr>
              <w:pStyle w:val="Normal"/>
              <w:jc w:val="center"/>
              <w:rPr>
                <w:rFonts w:ascii="Arial" w:hAnsi="Arial" w:cs="Arial"/>
                <w:color w:val="000000"/>
                <w:sz w:val="16"/>
                <w:lang w:eastAsia="en-US"/>
              </w:rPr>
            </w:pPr>
            <w:r>
              <w:rPr>
                <w:rFonts w:cs="Arial" w:ascii="Arial" w:hAnsi="Arial"/>
                <w:color w:val="000000"/>
                <w:sz w:val="16"/>
                <w:lang w:eastAsia="en-US"/>
              </w:rPr>
              <w:t>0.01</w:t>
            </w:r>
          </w:p>
        </w:tc>
        <w:tc>
          <w:tcPr>
            <w:tcW w:w="583" w:type="dxa"/>
            <w:tcBorders/>
          </w:tcPr>
          <w:p>
            <w:pPr>
              <w:pStyle w:val="Normal"/>
              <w:jc w:val="center"/>
              <w:rPr>
                <w:rFonts w:ascii="Arial" w:hAnsi="Arial" w:cs="Arial"/>
                <w:color w:val="000000"/>
                <w:sz w:val="16"/>
                <w:lang w:eastAsia="en-US"/>
              </w:rPr>
            </w:pPr>
            <w:r>
              <w:rPr>
                <w:rFonts w:cs="Arial" w:ascii="Arial" w:hAnsi="Arial"/>
                <w:color w:val="000000"/>
                <w:sz w:val="16"/>
                <w:lang w:eastAsia="en-US"/>
              </w:rPr>
              <w:t>0.04</w:t>
            </w:r>
          </w:p>
        </w:tc>
        <w:tc>
          <w:tcPr>
            <w:tcW w:w="583" w:type="dxa"/>
            <w:tcBorders/>
          </w:tcPr>
          <w:p>
            <w:pPr>
              <w:pStyle w:val="Normal"/>
              <w:jc w:val="center"/>
              <w:rPr>
                <w:rFonts w:ascii="Arial" w:hAnsi="Arial" w:cs="Arial"/>
                <w:color w:val="000000"/>
                <w:sz w:val="16"/>
                <w:lang w:eastAsia="en-US"/>
              </w:rPr>
            </w:pPr>
            <w:r>
              <w:rPr>
                <w:rFonts w:cs="Arial" w:ascii="Arial" w:hAnsi="Arial"/>
                <w:color w:val="000000"/>
                <w:sz w:val="16"/>
                <w:lang w:eastAsia="en-US"/>
              </w:rPr>
              <w:t>4.16</w:t>
            </w:r>
          </w:p>
        </w:tc>
      </w:tr>
      <w:tr>
        <w:trPr>
          <w:trHeight w:val="247" w:hRule="atLeast"/>
        </w:trPr>
        <w:tc>
          <w:tcPr>
            <w:tcW w:w="1387" w:type="dxa"/>
            <w:tcBorders>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BBB</w:t>
            </w:r>
          </w:p>
        </w:tc>
        <w:tc>
          <w:tcPr>
            <w:tcW w:w="583" w:type="dxa"/>
            <w:tcBorders/>
          </w:tcPr>
          <w:p>
            <w:pPr>
              <w:pStyle w:val="Normal"/>
              <w:jc w:val="center"/>
              <w:rPr>
                <w:rFonts w:ascii="Arial" w:hAnsi="Arial" w:cs="Arial"/>
                <w:color w:val="000000"/>
                <w:sz w:val="16"/>
                <w:lang w:eastAsia="en-US"/>
              </w:rPr>
            </w:pPr>
            <w:r>
              <w:rPr>
                <w:rFonts w:cs="Arial" w:ascii="Arial" w:hAnsi="Arial"/>
                <w:color w:val="000000"/>
                <w:sz w:val="16"/>
                <w:lang w:eastAsia="en-US"/>
              </w:rPr>
              <w:t>0.03</w:t>
            </w:r>
          </w:p>
        </w:tc>
        <w:tc>
          <w:tcPr>
            <w:tcW w:w="584" w:type="dxa"/>
            <w:tcBorders/>
          </w:tcPr>
          <w:p>
            <w:pPr>
              <w:pStyle w:val="Normal"/>
              <w:jc w:val="center"/>
              <w:rPr>
                <w:rFonts w:ascii="Arial" w:hAnsi="Arial" w:cs="Arial"/>
                <w:color w:val="000000"/>
                <w:sz w:val="16"/>
                <w:lang w:eastAsia="en-US"/>
              </w:rPr>
            </w:pPr>
            <w:r>
              <w:rPr>
                <w:rFonts w:cs="Arial" w:ascii="Arial" w:hAnsi="Arial"/>
                <w:color w:val="000000"/>
                <w:sz w:val="16"/>
                <w:lang w:eastAsia="en-US"/>
              </w:rPr>
              <w:t>0.24</w:t>
            </w:r>
          </w:p>
        </w:tc>
        <w:tc>
          <w:tcPr>
            <w:tcW w:w="583" w:type="dxa"/>
            <w:tcBorders/>
          </w:tcPr>
          <w:p>
            <w:pPr>
              <w:pStyle w:val="Normal"/>
              <w:jc w:val="center"/>
              <w:rPr>
                <w:rFonts w:ascii="Arial" w:hAnsi="Arial" w:cs="Arial"/>
                <w:color w:val="000000"/>
                <w:sz w:val="16"/>
                <w:lang w:eastAsia="en-US"/>
              </w:rPr>
            </w:pPr>
            <w:r>
              <w:rPr>
                <w:rFonts w:cs="Arial" w:ascii="Arial" w:hAnsi="Arial"/>
                <w:color w:val="000000"/>
                <w:sz w:val="16"/>
                <w:lang w:eastAsia="en-US"/>
              </w:rPr>
              <w:t>4.56</w:t>
            </w:r>
          </w:p>
        </w:tc>
        <w:tc>
          <w:tcPr>
            <w:tcW w:w="583" w:type="dxa"/>
            <w:tcBorders/>
          </w:tcPr>
          <w:p>
            <w:pPr>
              <w:pStyle w:val="Normal"/>
              <w:jc w:val="center"/>
              <w:rPr>
                <w:rFonts w:ascii="Arial" w:hAnsi="Arial" w:cs="Arial"/>
                <w:color w:val="000000"/>
                <w:sz w:val="16"/>
                <w:lang w:eastAsia="en-US"/>
              </w:rPr>
            </w:pPr>
            <w:r>
              <w:rPr>
                <w:rFonts w:cs="Arial" w:ascii="Arial" w:hAnsi="Arial"/>
                <w:color w:val="000000"/>
                <w:sz w:val="16"/>
                <w:lang w:eastAsia="en-US"/>
              </w:rPr>
              <w:t>84.26</w:t>
            </w:r>
          </w:p>
        </w:tc>
        <w:tc>
          <w:tcPr>
            <w:tcW w:w="583" w:type="dxa"/>
            <w:tcBorders/>
          </w:tcPr>
          <w:p>
            <w:pPr>
              <w:pStyle w:val="Normal"/>
              <w:jc w:val="center"/>
              <w:rPr>
                <w:rFonts w:ascii="Arial" w:hAnsi="Arial" w:cs="Arial"/>
                <w:color w:val="000000"/>
                <w:sz w:val="16"/>
                <w:lang w:eastAsia="en-US"/>
              </w:rPr>
            </w:pPr>
            <w:r>
              <w:rPr>
                <w:rFonts w:cs="Arial" w:ascii="Arial" w:hAnsi="Arial"/>
                <w:color w:val="000000"/>
                <w:sz w:val="16"/>
                <w:lang w:eastAsia="en-US"/>
              </w:rPr>
              <w:t>4.19</w:t>
            </w:r>
          </w:p>
        </w:tc>
        <w:tc>
          <w:tcPr>
            <w:tcW w:w="583" w:type="dxa"/>
            <w:tcBorders/>
          </w:tcPr>
          <w:p>
            <w:pPr>
              <w:pStyle w:val="Normal"/>
              <w:jc w:val="center"/>
              <w:rPr>
                <w:rFonts w:ascii="Arial" w:hAnsi="Arial" w:cs="Arial"/>
                <w:color w:val="000000"/>
                <w:sz w:val="16"/>
                <w:lang w:eastAsia="en-US"/>
              </w:rPr>
            </w:pPr>
            <w:r>
              <w:rPr>
                <w:rFonts w:cs="Arial" w:ascii="Arial" w:hAnsi="Arial"/>
                <w:color w:val="000000"/>
                <w:sz w:val="16"/>
                <w:lang w:eastAsia="en-US"/>
              </w:rPr>
              <w:t>0.76</w:t>
            </w:r>
          </w:p>
        </w:tc>
        <w:tc>
          <w:tcPr>
            <w:tcW w:w="584" w:type="dxa"/>
            <w:tcBorders/>
          </w:tcPr>
          <w:p>
            <w:pPr>
              <w:pStyle w:val="Normal"/>
              <w:jc w:val="center"/>
              <w:rPr>
                <w:rFonts w:ascii="Arial" w:hAnsi="Arial" w:cs="Arial"/>
                <w:color w:val="000000"/>
                <w:sz w:val="16"/>
                <w:lang w:eastAsia="en-US"/>
              </w:rPr>
            </w:pPr>
            <w:r>
              <w:rPr>
                <w:rFonts w:cs="Arial" w:ascii="Arial" w:hAnsi="Arial"/>
                <w:color w:val="000000"/>
                <w:sz w:val="16"/>
                <w:lang w:eastAsia="en-US"/>
              </w:rPr>
              <w:t>0.15</w:t>
            </w:r>
          </w:p>
        </w:tc>
        <w:tc>
          <w:tcPr>
            <w:tcW w:w="583" w:type="dxa"/>
            <w:tcBorders/>
          </w:tcPr>
          <w:p>
            <w:pPr>
              <w:pStyle w:val="Normal"/>
              <w:jc w:val="center"/>
              <w:rPr>
                <w:rFonts w:ascii="Arial" w:hAnsi="Arial" w:cs="Arial"/>
                <w:color w:val="000000"/>
                <w:sz w:val="16"/>
                <w:lang w:eastAsia="en-US"/>
              </w:rPr>
            </w:pPr>
            <w:r>
              <w:rPr>
                <w:rFonts w:cs="Arial" w:ascii="Arial" w:hAnsi="Arial"/>
                <w:color w:val="000000"/>
                <w:sz w:val="16"/>
                <w:lang w:eastAsia="en-US"/>
              </w:rPr>
              <w:t>0.22</w:t>
            </w:r>
          </w:p>
        </w:tc>
        <w:tc>
          <w:tcPr>
            <w:tcW w:w="583" w:type="dxa"/>
            <w:tcBorders/>
          </w:tcPr>
          <w:p>
            <w:pPr>
              <w:pStyle w:val="Normal"/>
              <w:jc w:val="center"/>
              <w:rPr>
                <w:rFonts w:ascii="Arial" w:hAnsi="Arial" w:cs="Arial"/>
                <w:color w:val="000000"/>
                <w:sz w:val="16"/>
                <w:lang w:eastAsia="en-US"/>
              </w:rPr>
            </w:pPr>
            <w:r>
              <w:rPr>
                <w:rFonts w:cs="Arial" w:ascii="Arial" w:hAnsi="Arial"/>
                <w:color w:val="000000"/>
                <w:sz w:val="16"/>
                <w:lang w:eastAsia="en-US"/>
              </w:rPr>
              <w:t>5.59</w:t>
            </w:r>
          </w:p>
        </w:tc>
      </w:tr>
      <w:tr>
        <w:trPr>
          <w:trHeight w:val="247" w:hRule="atLeast"/>
        </w:trPr>
        <w:tc>
          <w:tcPr>
            <w:tcW w:w="1387" w:type="dxa"/>
            <w:tcBorders>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BB</w:t>
            </w:r>
          </w:p>
        </w:tc>
        <w:tc>
          <w:tcPr>
            <w:tcW w:w="583" w:type="dxa"/>
            <w:tcBorders/>
          </w:tcPr>
          <w:p>
            <w:pPr>
              <w:pStyle w:val="Normal"/>
              <w:jc w:val="center"/>
              <w:rPr>
                <w:rFonts w:ascii="Arial" w:hAnsi="Arial" w:cs="Arial"/>
                <w:color w:val="000000"/>
                <w:sz w:val="16"/>
                <w:lang w:eastAsia="en-US"/>
              </w:rPr>
            </w:pPr>
            <w:r>
              <w:rPr>
                <w:rFonts w:cs="Arial" w:ascii="Arial" w:hAnsi="Arial"/>
                <w:color w:val="000000"/>
                <w:sz w:val="16"/>
                <w:lang w:eastAsia="en-US"/>
              </w:rPr>
              <w:t>0.03</w:t>
            </w:r>
          </w:p>
        </w:tc>
        <w:tc>
          <w:tcPr>
            <w:tcW w:w="584" w:type="dxa"/>
            <w:tcBorders/>
          </w:tcPr>
          <w:p>
            <w:pPr>
              <w:pStyle w:val="Normal"/>
              <w:jc w:val="center"/>
              <w:rPr>
                <w:rFonts w:ascii="Arial" w:hAnsi="Arial" w:cs="Arial"/>
                <w:color w:val="000000"/>
                <w:sz w:val="16"/>
                <w:lang w:eastAsia="en-US"/>
              </w:rPr>
            </w:pPr>
            <w:r>
              <w:rPr>
                <w:rFonts w:cs="Arial" w:ascii="Arial" w:hAnsi="Arial"/>
                <w:color w:val="000000"/>
                <w:sz w:val="16"/>
                <w:lang w:eastAsia="en-US"/>
              </w:rPr>
              <w:t>0.06</w:t>
            </w:r>
          </w:p>
        </w:tc>
        <w:tc>
          <w:tcPr>
            <w:tcW w:w="583" w:type="dxa"/>
            <w:tcBorders/>
          </w:tcPr>
          <w:p>
            <w:pPr>
              <w:pStyle w:val="Normal"/>
              <w:jc w:val="center"/>
              <w:rPr>
                <w:rFonts w:ascii="Arial" w:hAnsi="Arial" w:cs="Arial"/>
                <w:color w:val="000000"/>
                <w:sz w:val="16"/>
                <w:lang w:eastAsia="en-US"/>
              </w:rPr>
            </w:pPr>
            <w:r>
              <w:rPr>
                <w:rFonts w:cs="Arial" w:ascii="Arial" w:hAnsi="Arial"/>
                <w:color w:val="000000"/>
                <w:sz w:val="16"/>
                <w:lang w:eastAsia="en-US"/>
              </w:rPr>
              <w:t>0.04</w:t>
            </w:r>
          </w:p>
        </w:tc>
        <w:tc>
          <w:tcPr>
            <w:tcW w:w="583" w:type="dxa"/>
            <w:tcBorders/>
          </w:tcPr>
          <w:p>
            <w:pPr>
              <w:pStyle w:val="Normal"/>
              <w:jc w:val="center"/>
              <w:rPr>
                <w:rFonts w:ascii="Arial" w:hAnsi="Arial" w:cs="Arial"/>
                <w:color w:val="000000"/>
                <w:sz w:val="16"/>
                <w:lang w:eastAsia="en-US"/>
              </w:rPr>
            </w:pPr>
            <w:r>
              <w:rPr>
                <w:rFonts w:cs="Arial" w:ascii="Arial" w:hAnsi="Arial"/>
                <w:color w:val="000000"/>
                <w:sz w:val="16"/>
                <w:lang w:eastAsia="en-US"/>
              </w:rPr>
              <w:t>60.9</w:t>
            </w:r>
          </w:p>
        </w:tc>
        <w:tc>
          <w:tcPr>
            <w:tcW w:w="583" w:type="dxa"/>
            <w:tcBorders/>
          </w:tcPr>
          <w:p>
            <w:pPr>
              <w:pStyle w:val="Normal"/>
              <w:jc w:val="center"/>
              <w:rPr>
                <w:rFonts w:ascii="Arial" w:hAnsi="Arial" w:cs="Arial"/>
                <w:color w:val="000000"/>
                <w:sz w:val="16"/>
                <w:lang w:eastAsia="en-US"/>
              </w:rPr>
            </w:pPr>
            <w:r>
              <w:rPr>
                <w:rFonts w:cs="Arial" w:ascii="Arial" w:hAnsi="Arial"/>
                <w:color w:val="000000"/>
                <w:sz w:val="16"/>
                <w:lang w:eastAsia="en-US"/>
              </w:rPr>
              <w:t>76.09</w:t>
            </w:r>
          </w:p>
        </w:tc>
        <w:tc>
          <w:tcPr>
            <w:tcW w:w="583" w:type="dxa"/>
            <w:tcBorders/>
          </w:tcPr>
          <w:p>
            <w:pPr>
              <w:pStyle w:val="Normal"/>
              <w:jc w:val="center"/>
              <w:rPr>
                <w:rFonts w:ascii="Arial" w:hAnsi="Arial" w:cs="Arial"/>
                <w:color w:val="000000"/>
                <w:sz w:val="16"/>
                <w:lang w:eastAsia="en-US"/>
              </w:rPr>
            </w:pPr>
            <w:r>
              <w:rPr>
                <w:rFonts w:cs="Arial" w:ascii="Arial" w:hAnsi="Arial"/>
                <w:color w:val="000000"/>
                <w:sz w:val="16"/>
                <w:lang w:eastAsia="en-US"/>
              </w:rPr>
              <w:t>6.82</w:t>
            </w:r>
          </w:p>
        </w:tc>
        <w:tc>
          <w:tcPr>
            <w:tcW w:w="584" w:type="dxa"/>
            <w:tcBorders/>
          </w:tcPr>
          <w:p>
            <w:pPr>
              <w:pStyle w:val="Normal"/>
              <w:jc w:val="center"/>
              <w:rPr>
                <w:rFonts w:ascii="Arial" w:hAnsi="Arial" w:cs="Arial"/>
                <w:color w:val="000000"/>
                <w:sz w:val="16"/>
                <w:lang w:eastAsia="en-US"/>
              </w:rPr>
            </w:pPr>
            <w:r>
              <w:rPr>
                <w:rFonts w:cs="Arial" w:ascii="Arial" w:hAnsi="Arial"/>
                <w:color w:val="000000"/>
                <w:sz w:val="16"/>
                <w:lang w:eastAsia="en-US"/>
              </w:rPr>
              <w:t>0.96</w:t>
            </w:r>
          </w:p>
        </w:tc>
        <w:tc>
          <w:tcPr>
            <w:tcW w:w="583" w:type="dxa"/>
            <w:tcBorders/>
          </w:tcPr>
          <w:p>
            <w:pPr>
              <w:pStyle w:val="Normal"/>
              <w:jc w:val="center"/>
              <w:rPr>
                <w:rFonts w:ascii="Arial" w:hAnsi="Arial" w:cs="Arial"/>
                <w:color w:val="000000"/>
                <w:sz w:val="16"/>
                <w:lang w:eastAsia="en-US"/>
              </w:rPr>
            </w:pPr>
            <w:r>
              <w:rPr>
                <w:rFonts w:cs="Arial" w:ascii="Arial" w:hAnsi="Arial"/>
                <w:color w:val="000000"/>
                <w:sz w:val="16"/>
                <w:lang w:eastAsia="en-US"/>
              </w:rPr>
              <w:t>0.98</w:t>
            </w:r>
          </w:p>
        </w:tc>
        <w:tc>
          <w:tcPr>
            <w:tcW w:w="583" w:type="dxa"/>
            <w:tcBorders/>
          </w:tcPr>
          <w:p>
            <w:pPr>
              <w:pStyle w:val="Normal"/>
              <w:jc w:val="center"/>
              <w:rPr>
                <w:rFonts w:ascii="Arial" w:hAnsi="Arial" w:cs="Arial"/>
                <w:color w:val="000000"/>
                <w:sz w:val="16"/>
                <w:lang w:eastAsia="en-US"/>
              </w:rPr>
            </w:pPr>
            <w:r>
              <w:rPr>
                <w:rFonts w:cs="Arial" w:ascii="Arial" w:hAnsi="Arial"/>
                <w:color w:val="000000"/>
                <w:sz w:val="16"/>
                <w:lang w:eastAsia="en-US"/>
              </w:rPr>
              <w:t>8.58</w:t>
            </w:r>
          </w:p>
        </w:tc>
      </w:tr>
      <w:tr>
        <w:trPr>
          <w:trHeight w:val="247" w:hRule="atLeast"/>
        </w:trPr>
        <w:tc>
          <w:tcPr>
            <w:tcW w:w="1387" w:type="dxa"/>
            <w:tcBorders>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B</w:t>
            </w:r>
          </w:p>
        </w:tc>
        <w:tc>
          <w:tcPr>
            <w:tcW w:w="583" w:type="dxa"/>
            <w:tcBorders/>
          </w:tcPr>
          <w:p>
            <w:pPr>
              <w:pStyle w:val="Normal"/>
              <w:jc w:val="center"/>
              <w:rPr>
                <w:rFonts w:ascii="Arial" w:hAnsi="Arial" w:cs="Arial"/>
                <w:color w:val="000000"/>
                <w:sz w:val="16"/>
                <w:lang w:eastAsia="en-US"/>
              </w:rPr>
            </w:pPr>
            <w:r>
              <w:rPr>
                <w:rFonts w:cs="Arial" w:ascii="Arial" w:hAnsi="Arial"/>
                <w:color w:val="000000"/>
                <w:sz w:val="16"/>
                <w:lang w:eastAsia="en-US"/>
              </w:rPr>
              <w:t>0</w:t>
            </w:r>
          </w:p>
        </w:tc>
        <w:tc>
          <w:tcPr>
            <w:tcW w:w="584" w:type="dxa"/>
            <w:tcBorders/>
          </w:tcPr>
          <w:p>
            <w:pPr>
              <w:pStyle w:val="Normal"/>
              <w:jc w:val="center"/>
              <w:rPr>
                <w:rFonts w:ascii="Arial" w:hAnsi="Arial" w:cs="Arial"/>
                <w:color w:val="000000"/>
                <w:sz w:val="16"/>
                <w:lang w:eastAsia="en-US"/>
              </w:rPr>
            </w:pPr>
            <w:r>
              <w:rPr>
                <w:rFonts w:cs="Arial" w:ascii="Arial" w:hAnsi="Arial"/>
                <w:color w:val="000000"/>
                <w:sz w:val="16"/>
                <w:lang w:eastAsia="en-US"/>
              </w:rPr>
              <w:t>0.09</w:t>
            </w:r>
          </w:p>
        </w:tc>
        <w:tc>
          <w:tcPr>
            <w:tcW w:w="583" w:type="dxa"/>
            <w:tcBorders/>
          </w:tcPr>
          <w:p>
            <w:pPr>
              <w:pStyle w:val="Normal"/>
              <w:jc w:val="center"/>
              <w:rPr>
                <w:rFonts w:ascii="Arial" w:hAnsi="Arial" w:cs="Arial"/>
                <w:color w:val="000000"/>
                <w:sz w:val="16"/>
                <w:lang w:eastAsia="en-US"/>
              </w:rPr>
            </w:pPr>
            <w:r>
              <w:rPr>
                <w:rFonts w:cs="Arial" w:ascii="Arial" w:hAnsi="Arial"/>
                <w:color w:val="000000"/>
                <w:sz w:val="16"/>
                <w:lang w:eastAsia="en-US"/>
              </w:rPr>
              <w:t>0.29</w:t>
            </w:r>
          </w:p>
        </w:tc>
        <w:tc>
          <w:tcPr>
            <w:tcW w:w="583" w:type="dxa"/>
            <w:tcBorders/>
          </w:tcPr>
          <w:p>
            <w:pPr>
              <w:pStyle w:val="Normal"/>
              <w:jc w:val="center"/>
              <w:rPr>
                <w:rFonts w:ascii="Arial" w:hAnsi="Arial" w:cs="Arial"/>
                <w:color w:val="000000"/>
                <w:sz w:val="16"/>
                <w:lang w:eastAsia="en-US"/>
              </w:rPr>
            </w:pPr>
            <w:r>
              <w:rPr>
                <w:rFonts w:cs="Arial" w:ascii="Arial" w:hAnsi="Arial"/>
                <w:color w:val="000000"/>
                <w:sz w:val="16"/>
                <w:lang w:eastAsia="en-US"/>
              </w:rPr>
              <w:t>0.41</w:t>
            </w:r>
          </w:p>
        </w:tc>
        <w:tc>
          <w:tcPr>
            <w:tcW w:w="583" w:type="dxa"/>
            <w:tcBorders/>
          </w:tcPr>
          <w:p>
            <w:pPr>
              <w:pStyle w:val="Normal"/>
              <w:jc w:val="center"/>
              <w:rPr>
                <w:rFonts w:ascii="Arial" w:hAnsi="Arial" w:cs="Arial"/>
                <w:color w:val="000000"/>
                <w:sz w:val="16"/>
                <w:lang w:eastAsia="en-US"/>
              </w:rPr>
            </w:pPr>
            <w:r>
              <w:rPr>
                <w:rFonts w:cs="Arial" w:ascii="Arial" w:hAnsi="Arial"/>
                <w:color w:val="000000"/>
                <w:sz w:val="16"/>
                <w:lang w:eastAsia="en-US"/>
              </w:rPr>
              <w:t>5.11</w:t>
            </w:r>
          </w:p>
        </w:tc>
        <w:tc>
          <w:tcPr>
            <w:tcW w:w="583" w:type="dxa"/>
            <w:tcBorders/>
          </w:tcPr>
          <w:p>
            <w:pPr>
              <w:pStyle w:val="Normal"/>
              <w:jc w:val="center"/>
              <w:rPr>
                <w:rFonts w:ascii="Arial" w:hAnsi="Arial" w:cs="Arial"/>
                <w:color w:val="000000"/>
                <w:sz w:val="16"/>
                <w:lang w:eastAsia="en-US"/>
              </w:rPr>
            </w:pPr>
            <w:r>
              <w:rPr>
                <w:rFonts w:cs="Arial" w:ascii="Arial" w:hAnsi="Arial"/>
                <w:color w:val="000000"/>
                <w:sz w:val="16"/>
                <w:lang w:eastAsia="en-US"/>
              </w:rPr>
              <w:t>74.62</w:t>
            </w:r>
          </w:p>
        </w:tc>
        <w:tc>
          <w:tcPr>
            <w:tcW w:w="584" w:type="dxa"/>
            <w:tcBorders/>
          </w:tcPr>
          <w:p>
            <w:pPr>
              <w:pStyle w:val="Normal"/>
              <w:jc w:val="center"/>
              <w:rPr>
                <w:rFonts w:ascii="Arial" w:hAnsi="Arial" w:cs="Arial"/>
                <w:color w:val="000000"/>
                <w:sz w:val="16"/>
                <w:lang w:eastAsia="en-US"/>
              </w:rPr>
            </w:pPr>
            <w:r>
              <w:rPr>
                <w:rFonts w:cs="Arial" w:ascii="Arial" w:hAnsi="Arial"/>
                <w:color w:val="000000"/>
                <w:sz w:val="16"/>
                <w:lang w:eastAsia="en-US"/>
              </w:rPr>
              <w:t>3.43</w:t>
            </w:r>
          </w:p>
        </w:tc>
        <w:tc>
          <w:tcPr>
            <w:tcW w:w="583" w:type="dxa"/>
            <w:tcBorders/>
          </w:tcPr>
          <w:p>
            <w:pPr>
              <w:pStyle w:val="Normal"/>
              <w:jc w:val="center"/>
              <w:rPr>
                <w:rFonts w:ascii="Arial" w:hAnsi="Arial" w:cs="Arial"/>
                <w:color w:val="000000"/>
                <w:sz w:val="16"/>
                <w:lang w:eastAsia="en-US"/>
              </w:rPr>
            </w:pPr>
            <w:r>
              <w:rPr>
                <w:rFonts w:cs="Arial" w:ascii="Arial" w:hAnsi="Arial"/>
                <w:color w:val="000000"/>
                <w:sz w:val="16"/>
                <w:lang w:eastAsia="en-US"/>
              </w:rPr>
              <w:t>5.3</w:t>
            </w:r>
          </w:p>
        </w:tc>
        <w:tc>
          <w:tcPr>
            <w:tcW w:w="583" w:type="dxa"/>
            <w:tcBorders/>
          </w:tcPr>
          <w:p>
            <w:pPr>
              <w:pStyle w:val="Normal"/>
              <w:jc w:val="center"/>
              <w:rPr>
                <w:rFonts w:ascii="Arial" w:hAnsi="Arial" w:cs="Arial"/>
                <w:color w:val="000000"/>
                <w:sz w:val="16"/>
                <w:lang w:eastAsia="en-US"/>
              </w:rPr>
            </w:pPr>
            <w:r>
              <w:rPr>
                <w:rFonts w:cs="Arial" w:ascii="Arial" w:hAnsi="Arial"/>
                <w:color w:val="000000"/>
                <w:sz w:val="16"/>
                <w:lang w:eastAsia="en-US"/>
              </w:rPr>
              <w:t>10.76</w:t>
            </w:r>
          </w:p>
        </w:tc>
      </w:tr>
      <w:tr>
        <w:trPr>
          <w:trHeight w:val="247" w:hRule="atLeast"/>
        </w:trPr>
        <w:tc>
          <w:tcPr>
            <w:tcW w:w="1387" w:type="dxa"/>
            <w:tcBorders>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CCC</w:t>
            </w:r>
          </w:p>
        </w:tc>
        <w:tc>
          <w:tcPr>
            <w:tcW w:w="583" w:type="dxa"/>
            <w:tcBorders/>
          </w:tcPr>
          <w:p>
            <w:pPr>
              <w:pStyle w:val="Normal"/>
              <w:jc w:val="center"/>
              <w:rPr>
                <w:rFonts w:ascii="Arial" w:hAnsi="Arial" w:cs="Arial"/>
                <w:color w:val="000000"/>
                <w:sz w:val="16"/>
                <w:lang w:eastAsia="en-US"/>
              </w:rPr>
            </w:pPr>
            <w:r>
              <w:rPr>
                <w:rFonts w:cs="Arial" w:ascii="Arial" w:hAnsi="Arial"/>
                <w:color w:val="000000"/>
                <w:sz w:val="16"/>
                <w:lang w:eastAsia="en-US"/>
              </w:rPr>
              <w:t>0.13</w:t>
            </w:r>
          </w:p>
        </w:tc>
        <w:tc>
          <w:tcPr>
            <w:tcW w:w="584" w:type="dxa"/>
            <w:tcBorders/>
          </w:tcPr>
          <w:p>
            <w:pPr>
              <w:pStyle w:val="Normal"/>
              <w:jc w:val="center"/>
              <w:rPr>
                <w:rFonts w:ascii="Arial" w:hAnsi="Arial" w:cs="Arial"/>
                <w:color w:val="000000"/>
                <w:sz w:val="16"/>
                <w:lang w:eastAsia="en-US"/>
              </w:rPr>
            </w:pPr>
            <w:r>
              <w:rPr>
                <w:rFonts w:cs="Arial" w:ascii="Arial" w:hAnsi="Arial"/>
                <w:color w:val="000000"/>
                <w:sz w:val="16"/>
                <w:lang w:eastAsia="en-US"/>
              </w:rPr>
              <w:t>0</w:t>
            </w:r>
          </w:p>
        </w:tc>
        <w:tc>
          <w:tcPr>
            <w:tcW w:w="583" w:type="dxa"/>
            <w:tcBorders/>
          </w:tcPr>
          <w:p>
            <w:pPr>
              <w:pStyle w:val="Normal"/>
              <w:jc w:val="center"/>
              <w:rPr>
                <w:rFonts w:ascii="Arial" w:hAnsi="Arial" w:cs="Arial"/>
                <w:color w:val="000000"/>
                <w:sz w:val="16"/>
                <w:lang w:eastAsia="en-US"/>
              </w:rPr>
            </w:pPr>
            <w:r>
              <w:rPr>
                <w:rFonts w:cs="Arial" w:ascii="Arial" w:hAnsi="Arial"/>
                <w:color w:val="000000"/>
                <w:sz w:val="16"/>
                <w:lang w:eastAsia="en-US"/>
              </w:rPr>
              <w:t>0.26</w:t>
            </w:r>
          </w:p>
        </w:tc>
        <w:tc>
          <w:tcPr>
            <w:tcW w:w="583" w:type="dxa"/>
            <w:tcBorders/>
          </w:tcPr>
          <w:p>
            <w:pPr>
              <w:pStyle w:val="Normal"/>
              <w:jc w:val="center"/>
              <w:rPr>
                <w:rFonts w:ascii="Arial" w:hAnsi="Arial" w:cs="Arial"/>
                <w:color w:val="000000"/>
                <w:sz w:val="16"/>
                <w:lang w:eastAsia="en-US"/>
              </w:rPr>
            </w:pPr>
            <w:r>
              <w:rPr>
                <w:rFonts w:cs="Arial" w:ascii="Arial" w:hAnsi="Arial"/>
                <w:color w:val="000000"/>
                <w:sz w:val="16"/>
                <w:lang w:eastAsia="en-US"/>
              </w:rPr>
              <w:t>41</w:t>
            </w:r>
          </w:p>
        </w:tc>
        <w:tc>
          <w:tcPr>
            <w:tcW w:w="583" w:type="dxa"/>
            <w:tcBorders/>
          </w:tcPr>
          <w:p>
            <w:pPr>
              <w:pStyle w:val="Normal"/>
              <w:jc w:val="center"/>
              <w:rPr>
                <w:rFonts w:ascii="Arial" w:hAnsi="Arial" w:cs="Arial"/>
                <w:color w:val="000000"/>
                <w:sz w:val="16"/>
                <w:lang w:eastAsia="en-US"/>
              </w:rPr>
            </w:pPr>
            <w:r>
              <w:rPr>
                <w:rFonts w:cs="Arial" w:ascii="Arial" w:hAnsi="Arial"/>
                <w:color w:val="000000"/>
                <w:sz w:val="16"/>
                <w:lang w:eastAsia="en-US"/>
              </w:rPr>
              <w:t>1.66</w:t>
            </w:r>
          </w:p>
        </w:tc>
        <w:tc>
          <w:tcPr>
            <w:tcW w:w="583" w:type="dxa"/>
            <w:tcBorders/>
          </w:tcPr>
          <w:p>
            <w:pPr>
              <w:pStyle w:val="Normal"/>
              <w:jc w:val="center"/>
              <w:rPr>
                <w:rFonts w:ascii="Arial" w:hAnsi="Arial" w:cs="Arial"/>
                <w:color w:val="000000"/>
                <w:sz w:val="16"/>
                <w:lang w:eastAsia="en-US"/>
              </w:rPr>
            </w:pPr>
            <w:r>
              <w:rPr>
                <w:rFonts w:cs="Arial" w:ascii="Arial" w:hAnsi="Arial"/>
                <w:color w:val="000000"/>
                <w:sz w:val="16"/>
                <w:lang w:eastAsia="en-US"/>
              </w:rPr>
              <w:t>8.93</w:t>
            </w:r>
          </w:p>
        </w:tc>
        <w:tc>
          <w:tcPr>
            <w:tcW w:w="584" w:type="dxa"/>
            <w:tcBorders/>
          </w:tcPr>
          <w:p>
            <w:pPr>
              <w:pStyle w:val="Normal"/>
              <w:jc w:val="center"/>
              <w:rPr>
                <w:rFonts w:ascii="Arial" w:hAnsi="Arial" w:cs="Arial"/>
                <w:color w:val="000000"/>
                <w:sz w:val="16"/>
                <w:lang w:eastAsia="en-US"/>
              </w:rPr>
            </w:pPr>
            <w:r>
              <w:rPr>
                <w:rFonts w:cs="Arial" w:ascii="Arial" w:hAnsi="Arial"/>
                <w:color w:val="000000"/>
                <w:sz w:val="16"/>
                <w:lang w:eastAsia="en-US"/>
              </w:rPr>
              <w:t>53.19</w:t>
            </w:r>
          </w:p>
        </w:tc>
        <w:tc>
          <w:tcPr>
            <w:tcW w:w="583" w:type="dxa"/>
            <w:tcBorders/>
          </w:tcPr>
          <w:p>
            <w:pPr>
              <w:pStyle w:val="Normal"/>
              <w:jc w:val="center"/>
              <w:rPr>
                <w:rFonts w:ascii="Arial" w:hAnsi="Arial" w:cs="Arial"/>
                <w:color w:val="000000"/>
                <w:sz w:val="16"/>
                <w:lang w:eastAsia="en-US"/>
              </w:rPr>
            </w:pPr>
            <w:r>
              <w:rPr>
                <w:rFonts w:cs="Arial" w:ascii="Arial" w:hAnsi="Arial"/>
                <w:color w:val="000000"/>
                <w:sz w:val="16"/>
                <w:lang w:eastAsia="en-US"/>
              </w:rPr>
              <w:t>21.94</w:t>
            </w:r>
          </w:p>
        </w:tc>
        <w:tc>
          <w:tcPr>
            <w:tcW w:w="583" w:type="dxa"/>
            <w:tcBorders/>
          </w:tcPr>
          <w:p>
            <w:pPr>
              <w:pStyle w:val="Normal"/>
              <w:jc w:val="center"/>
              <w:rPr>
                <w:rFonts w:ascii="Arial" w:hAnsi="Arial" w:cs="Arial"/>
                <w:color w:val="000000"/>
                <w:sz w:val="16"/>
                <w:lang w:eastAsia="en-US"/>
              </w:rPr>
            </w:pPr>
            <w:r>
              <w:rPr>
                <w:rFonts w:cs="Arial" w:ascii="Arial" w:hAnsi="Arial"/>
                <w:color w:val="000000"/>
                <w:sz w:val="16"/>
                <w:lang w:eastAsia="en-US"/>
              </w:rPr>
              <w:t>13.14</w:t>
            </w:r>
          </w:p>
        </w:tc>
      </w:tr>
    </w:tbl>
    <w:p>
      <w:pPr>
        <w:pStyle w:val="Normal"/>
        <w:ind w:firstLine="720" w:end="0"/>
        <w:rPr>
          <w:sz w:val="24"/>
        </w:rPr>
      </w:pPr>
      <w:r>
        <w:rPr>
          <w:sz w:val="24"/>
        </w:rPr>
      </w:r>
    </w:p>
    <w:p>
      <w:pPr>
        <w:pStyle w:val="Normal"/>
        <w:spacing w:lineRule="auto" w:line="480"/>
        <w:ind w:firstLine="720" w:end="0"/>
        <w:rPr>
          <w:sz w:val="24"/>
        </w:rPr>
      </w:pPr>
      <w:r>
        <w:rPr>
          <w:sz w:val="24"/>
        </w:rPr>
        <w:t>Figure 8.  Average One-Year Transition Rates.</w:t>
      </w:r>
      <w:r>
        <w:br w:type="page"/>
      </w:r>
    </w:p>
    <w:p>
      <w:pPr>
        <w:pStyle w:val="Normal"/>
        <w:spacing w:lineRule="auto" w:line="480"/>
        <w:ind w:firstLine="720" w:end="0"/>
        <w:rPr>
          <w:sz w:val="24"/>
        </w:rPr>
      </w:pPr>
      <w:r>
        <w:rPr>
          <w:sz w:val="24"/>
        </w:rPr>
        <w:t>Transition matrices for longer time horizons and by industry category are available, but were not published in this document.  We are uncertain as to which industry Enron belongs as Enron is no longer an energy company, but in some ways is similar to a conglomerate.  We are aware that the Board is selecting a new group of peer companies, but are not privy to the details.</w:t>
      </w:r>
    </w:p>
    <w:p>
      <w:pPr>
        <w:pStyle w:val="Normal"/>
        <w:spacing w:lineRule="auto" w:line="480"/>
        <w:ind w:firstLine="720" w:end="0"/>
        <w:rPr>
          <w:sz w:val="24"/>
        </w:rPr>
      </w:pPr>
      <w:r>
        <w:rPr>
          <w:sz w:val="24"/>
        </w:rPr>
        <w:t xml:space="preserve">As for the likelihood of the trigger event itself, it is not known how the credit rating and the stock price are precisely correlated.  Given recent events with utilities in California and with Xerox, it is clear that credit ratings and stock price movements can be strongly correlated.  If so, then the likelihood of occurrence of the third Whitewing trigger event is around 4% over the next year. </w:t>
      </w:r>
    </w:p>
    <w:p>
      <w:pPr>
        <w:pStyle w:val="Normal"/>
        <w:spacing w:lineRule="auto" w:line="480"/>
        <w:ind w:firstLine="720" w:end="0"/>
        <w:rPr>
          <w:sz w:val="24"/>
        </w:rPr>
      </w:pPr>
      <w:r>
        <w:rPr>
          <w:sz w:val="24"/>
        </w:rPr>
        <w:t>We used the same type of analysis with Marlin.  Marlin is an entity formed in association with our Azurix affiliate.  There are a few additional trigger events, and they are included in the summary in Appendix I.  As with the case of Whitewing, there is a trigger event that is based upon Enron’s share price and credit rating.  In this case the share price must close below $37.84, while the credit component is identical to Whitewing.  We have estimated the likelihood of occurrence of this trigger event over the next year to be 0.00% (three significant digits).</w:t>
      </w:r>
    </w:p>
    <w:p>
      <w:pPr>
        <w:pStyle w:val="Normal"/>
        <w:spacing w:lineRule="auto" w:line="480"/>
        <w:ind w:firstLine="720" w:end="0"/>
        <w:rPr>
          <w:sz w:val="24"/>
        </w:rPr>
      </w:pPr>
      <w:r>
        <w:rPr>
          <w:sz w:val="24"/>
        </w:rPr>
        <w:t>One thing that needs to be addressed is the possibility that one trigger event causes another trigger event.  In the case of Whitewing, if the preferred shares are converted into common, and sold on the open market, this will depress the share price even further, causing the likelihood of the Marlin trigger event to increase.  Although we think we have a way to address the problem, we have not factored this into our analysis.</w:t>
      </w:r>
    </w:p>
    <w:p>
      <w:pPr>
        <w:pStyle w:val="Normal"/>
        <w:spacing w:lineRule="auto" w:line="480"/>
        <w:ind w:firstLine="720" w:end="0"/>
        <w:rPr>
          <w:sz w:val="24"/>
        </w:rPr>
      </w:pPr>
      <w:r>
        <w:rPr>
          <w:sz w:val="24"/>
        </w:rPr>
        <w:t>We looked at several other vehicles, but to our knowledge they do not contain trigger events dependent upon Enron’s stock price and credit rating.  These vehicles include JEDI I, JEDI II, and Hawaii 125-O.</w:t>
      </w:r>
    </w:p>
    <w:p>
      <w:pPr>
        <w:pStyle w:val="Normal"/>
        <w:spacing w:lineRule="auto" w:line="480"/>
        <w:ind w:firstLine="720" w:end="0"/>
        <w:rPr>
          <w:sz w:val="24"/>
        </w:rPr>
      </w:pPr>
      <w:r>
        <w:rPr>
          <w:sz w:val="24"/>
        </w:rPr>
        <w:t>Recently, it has come to our attention that there has been a number of assets that have been monetized in ENA.  This has been done on the business unit level, not on the corporate level.  We are in the process of locating and quantifying this information. Recently, it has come to our attention that there has been a number of assets that have been monetized in ENA.  This has been done on the business unit level, not on the corporate level.  We are in the process of locating and quantifying this information.</w:t>
      </w:r>
    </w:p>
    <w:p>
      <w:pPr>
        <w:pStyle w:val="Normal"/>
        <w:ind w:firstLine="720" w:end="0"/>
        <w:rPr>
          <w:sz w:val="24"/>
        </w:rPr>
      </w:pPr>
      <w:r>
        <w:rPr>
          <w:sz w:val="24"/>
        </w:rPr>
      </w:r>
    </w:p>
    <w:p>
      <w:pPr>
        <w:pStyle w:val="Heading5"/>
        <w:rPr/>
      </w:pPr>
      <w:r>
        <w:rPr/>
        <w:t>Prepays</w:t>
      </w:r>
    </w:p>
    <w:p>
      <w:pPr>
        <w:pStyle w:val="Normal"/>
        <w:spacing w:lineRule="auto" w:line="480"/>
        <w:ind w:firstLine="720" w:end="0"/>
        <w:rPr>
          <w:sz w:val="24"/>
        </w:rPr>
      </w:pPr>
      <w:r>
        <w:rPr>
          <w:sz w:val="24"/>
        </w:rPr>
        <w:t xml:space="preserve">Prepays present yet another challenge to asset liability management, and, as before, there were contacts not a few.  Among the most helpful have been Joe Deffner, Eric Moon, Eric Boyt, Jodi Coulter, and Scott Earnest.  We have archived quite a few documents relating to prepays, including various payment schedules and structural diagrams.  We also have the details surrounding the Yosemite structure.  </w:t>
      </w:r>
    </w:p>
    <w:p>
      <w:pPr>
        <w:pStyle w:val="Normal"/>
        <w:spacing w:lineRule="auto" w:line="480"/>
        <w:ind w:firstLine="720" w:end="0"/>
        <w:rPr>
          <w:sz w:val="24"/>
        </w:rPr>
      </w:pPr>
      <w:r>
        <w:rPr>
          <w:sz w:val="24"/>
        </w:rPr>
        <w:t>In short, a prepay is the reciprocal of a volumetric production payment.  When Enron enters into a prepay, we get a lump sum today, and agree to deliver physical commodity over time.  The cashflows are analogous to those of a bond.  Sometimes there is a large final payment similar to a principal repayment, but other times the payments are of equal amount.</w:t>
      </w:r>
    </w:p>
    <w:p>
      <w:pPr>
        <w:pStyle w:val="Normal"/>
        <w:spacing w:lineRule="auto" w:line="480"/>
        <w:ind w:firstLine="720" w:end="0"/>
        <w:rPr>
          <w:sz w:val="24"/>
        </w:rPr>
      </w:pPr>
      <w:r>
        <w:rPr>
          <w:sz w:val="24"/>
        </w:rPr>
        <w:t xml:space="preserve">Usually the prepays are structured in such a way that there is no physical delivery of the commodity but instead the contract requirements are fulfilled with cash payments.  Prepays are recorded on Enron’s balance sheet under Price Risk Management Activities.  </w:t>
      </w:r>
    </w:p>
    <w:p>
      <w:pPr>
        <w:pStyle w:val="Normal"/>
        <w:spacing w:lineRule="auto" w:line="480"/>
        <w:ind w:firstLine="720" w:end="0"/>
        <w:rPr>
          <w:sz w:val="24"/>
        </w:rPr>
      </w:pPr>
      <w:r>
        <w:rPr>
          <w:sz w:val="24"/>
        </w:rPr>
        <w:t>We were hoping that there would be a prepay book, but it appears that once a deal is entered into that the different legs of the prepay are stripped out and selectively entered into Enron’s commodity risk books, and it is difficult to reconstruct the prepay.  Our goal is to determine the aggregate payment stream for all the prepays to which Enron is a party.</w:t>
      </w:r>
    </w:p>
    <w:p>
      <w:pPr>
        <w:pStyle w:val="Normal"/>
        <w:spacing w:lineRule="auto" w:line="480"/>
        <w:ind w:firstLine="720" w:end="0"/>
        <w:rPr/>
      </w:pPr>
      <w:r>
        <w:rPr>
          <w:sz w:val="24"/>
        </w:rPr>
        <w:t>Figure 8 shows the payment stream from the Yosemite I prepay.  It consists of annual payments every January 3</w:t>
      </w:r>
      <w:r>
        <w:rPr>
          <w:sz w:val="24"/>
          <w:vertAlign w:val="superscript"/>
        </w:rPr>
        <w:t>rd</w:t>
      </w:r>
      <w:r>
        <w:rPr>
          <w:sz w:val="24"/>
        </w:rPr>
        <w:t xml:space="preserve"> of $29M and a lump sum of $800M January 3, 2007.  We have been told that Yosemite II is similar, but that the cash flows are in sterling.  F/X exposure has been hedged.  </w:t>
      </w:r>
    </w:p>
    <w:p>
      <w:pPr>
        <w:pStyle w:val="Normal"/>
        <w:spacing w:lineRule="auto" w:line="480"/>
        <w:ind w:firstLine="720" w:end="0"/>
        <w:rPr>
          <w:sz w:val="24"/>
        </w:rPr>
      </w:pPr>
      <w:r>
        <w:rPr>
          <w:sz w:val="24"/>
        </w:rPr>
      </w:r>
    </w:p>
    <w:p>
      <w:pPr>
        <w:pStyle w:val="Normal"/>
        <w:spacing w:lineRule="auto" w:line="480"/>
        <w:ind w:firstLine="720" w:end="0"/>
        <w:rPr>
          <w:sz w:val="24"/>
          <w:lang w:val="en-CA"/>
        </w:rPr>
      </w:pPr>
      <w:r>
        <w:rPr>
          <w:sz w:val="24"/>
          <w:lang w:val="en-CA"/>
        </w:rPr>
        <w:drawing>
          <wp:anchor behindDoc="0" distT="0" distB="0" distL="114935" distR="114935" simplePos="0" locked="0" layoutInCell="1" allowOverlap="1" relativeHeight="87">
            <wp:simplePos x="0" y="0"/>
            <wp:positionH relativeFrom="column">
              <wp:posOffset>-45720</wp:posOffset>
            </wp:positionH>
            <wp:positionV relativeFrom="paragraph">
              <wp:posOffset>45720</wp:posOffset>
            </wp:positionV>
            <wp:extent cx="5553710" cy="3590925"/>
            <wp:effectExtent l="0" t="0" r="0" b="0"/>
            <wp:wrapNone/>
            <wp:docPr id="2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 descr="" title=""/>
                    <pic:cNvPicPr>
                      <a:picLocks noChangeAspect="1" noChangeArrowheads="1"/>
                    </pic:cNvPicPr>
                  </pic:nvPicPr>
                  <pic:blipFill>
                    <a:blip r:embed="rId14"/>
                    <a:srcRect l="-6" t="-10" r="-6" b="-10"/>
                    <a:stretch>
                      <a:fillRect/>
                    </a:stretch>
                  </pic:blipFill>
                  <pic:spPr bwMode="auto">
                    <a:xfrm>
                      <a:off x="0" y="0"/>
                      <a:ext cx="5553710" cy="3590925"/>
                    </a:xfrm>
                    <a:prstGeom prst="rect">
                      <a:avLst/>
                    </a:prstGeom>
                    <a:noFill/>
                  </pic:spPr>
                </pic:pic>
              </a:graphicData>
            </a:graphic>
          </wp:anchor>
        </w:drawing>
      </w:r>
    </w:p>
    <w:p>
      <w:pPr>
        <w:pStyle w:val="Normal"/>
        <w:spacing w:lineRule="auto" w:line="480"/>
        <w:ind w:firstLine="720" w:end="0"/>
        <w:rPr>
          <w:sz w:val="24"/>
        </w:rPr>
      </w:pPr>
      <w:r>
        <w:rPr>
          <w:sz w:val="24"/>
        </w:rPr>
      </w:r>
    </w:p>
    <w:p>
      <w:pPr>
        <w:pStyle w:val="Normal"/>
        <w:spacing w:lineRule="auto" w:line="480"/>
        <w:ind w:firstLine="720" w:end="0"/>
        <w:rPr>
          <w:sz w:val="24"/>
        </w:rPr>
      </w:pPr>
      <w:r>
        <w:rPr>
          <w:sz w:val="24"/>
        </w:rPr>
      </w:r>
    </w:p>
    <w:p>
      <w:pPr>
        <w:pStyle w:val="Normal"/>
        <w:spacing w:lineRule="auto" w:line="480"/>
        <w:ind w:firstLine="720" w:end="0"/>
        <w:rPr>
          <w:sz w:val="24"/>
        </w:rPr>
      </w:pPr>
      <w:r>
        <w:rPr>
          <w:sz w:val="24"/>
        </w:rPr>
      </w:r>
    </w:p>
    <w:p>
      <w:pPr>
        <w:pStyle w:val="Normal"/>
        <w:spacing w:lineRule="auto" w:line="480"/>
        <w:ind w:firstLine="720" w:end="0"/>
        <w:rPr>
          <w:sz w:val="24"/>
        </w:rPr>
      </w:pPr>
      <w:r>
        <w:rPr>
          <w:sz w:val="24"/>
        </w:rPr>
      </w:r>
    </w:p>
    <w:p>
      <w:pPr>
        <w:pStyle w:val="Normal"/>
        <w:spacing w:lineRule="auto" w:line="480"/>
        <w:ind w:firstLine="720" w:end="0"/>
        <w:rPr>
          <w:sz w:val="24"/>
        </w:rPr>
      </w:pPr>
      <w:r>
        <w:rPr>
          <w:sz w:val="24"/>
        </w:rPr>
      </w:r>
    </w:p>
    <w:p>
      <w:pPr>
        <w:pStyle w:val="Normal"/>
        <w:spacing w:lineRule="auto" w:line="480"/>
        <w:ind w:firstLine="720" w:end="0"/>
        <w:rPr>
          <w:sz w:val="24"/>
        </w:rPr>
      </w:pPr>
      <w:r>
        <w:rPr>
          <w:sz w:val="24"/>
        </w:rPr>
      </w:r>
    </w:p>
    <w:p>
      <w:pPr>
        <w:pStyle w:val="Normal"/>
        <w:spacing w:lineRule="auto" w:line="480"/>
        <w:ind w:firstLine="720" w:end="0"/>
        <w:rPr>
          <w:sz w:val="24"/>
        </w:rPr>
      </w:pPr>
      <w:r>
        <w:rPr>
          <w:sz w:val="24"/>
        </w:rPr>
      </w:r>
    </w:p>
    <w:p>
      <w:pPr>
        <w:pStyle w:val="Normal"/>
        <w:spacing w:lineRule="auto" w:line="480"/>
        <w:ind w:firstLine="720" w:end="0"/>
        <w:rPr>
          <w:sz w:val="24"/>
        </w:rPr>
      </w:pPr>
      <w:r>
        <w:rPr>
          <w:sz w:val="24"/>
        </w:rPr>
      </w:r>
    </w:p>
    <w:p>
      <w:pPr>
        <w:pStyle w:val="Normal"/>
        <w:spacing w:lineRule="auto" w:line="480"/>
        <w:ind w:firstLine="720" w:end="0"/>
        <w:rPr>
          <w:sz w:val="24"/>
        </w:rPr>
      </w:pPr>
      <w:r>
        <w:rPr>
          <w:sz w:val="24"/>
        </w:rPr>
      </w:r>
    </w:p>
    <w:p>
      <w:pPr>
        <w:pStyle w:val="Normal"/>
        <w:spacing w:lineRule="auto" w:line="480"/>
        <w:ind w:firstLine="720" w:end="0"/>
        <w:rPr>
          <w:sz w:val="24"/>
        </w:rPr>
      </w:pPr>
      <w:r>
        <w:rPr>
          <w:sz w:val="24"/>
        </w:rPr>
      </w:r>
    </w:p>
    <w:p>
      <w:pPr>
        <w:pStyle w:val="Normal"/>
        <w:spacing w:lineRule="auto" w:line="480"/>
        <w:ind w:firstLine="720" w:end="0"/>
        <w:rPr>
          <w:sz w:val="24"/>
        </w:rPr>
      </w:pPr>
      <w:r>
        <w:rPr>
          <w:sz w:val="24"/>
        </w:rPr>
        <w:t xml:space="preserve">Figure 8.  Yosemite I payment stream.  </w:t>
      </w:r>
      <w:r>
        <w:br w:type="page"/>
      </w:r>
    </w:p>
    <w:p>
      <w:pPr>
        <w:pStyle w:val="Normal"/>
        <w:spacing w:lineRule="auto" w:line="480"/>
        <w:ind w:firstLine="720" w:end="0"/>
        <w:rPr>
          <w:sz w:val="24"/>
        </w:rPr>
      </w:pPr>
      <w:r>
        <w:rPr>
          <w:sz w:val="24"/>
        </w:rPr>
        <w:tab/>
        <w:t>As one can tell from the Yosemite I structure, the payment streams can be quite large, but our understanding is that they are fixed so that the timing and amount of the liability is known.  Any type of variability has been hedged.  However, at this time, we have been unable to determine the net aggregate payment stream for all prepays.</w:t>
      </w:r>
    </w:p>
    <w:p>
      <w:pPr>
        <w:pStyle w:val="Normal"/>
        <w:spacing w:lineRule="auto" w:line="480"/>
        <w:ind w:firstLine="720" w:end="0"/>
        <w:rPr>
          <w:sz w:val="24"/>
        </w:rPr>
      </w:pPr>
      <w:r>
        <w:rPr>
          <w:sz w:val="24"/>
        </w:rPr>
        <w:tab/>
        <w:t xml:space="preserve">Recently, Joe Deffner mentioned that he has information on a number of prepays and asset monetizations.  We are in the process of tracking down this information.  Kelly Boots maintains a finance tracking system named GOFIR, which includes debt amortization schedules.  Joe sent a spreadsheet model of the Chase Mahonia IX Gas Prepay, and the payment stream is shown in Figure 9.  The author has included additional information for this particular prepay.  </w:t>
      </w:r>
    </w:p>
    <w:p>
      <w:pPr>
        <w:pStyle w:val="Normal"/>
        <w:numPr>
          <w:ilvl w:val="0"/>
          <w:numId w:val="3"/>
        </w:numPr>
        <w:tabs>
          <w:tab w:val="clear" w:pos="720"/>
          <w:tab w:val="left" w:pos="1080" w:leader="none"/>
        </w:tabs>
        <w:ind w:hanging="360" w:start="1080" w:end="0"/>
        <w:rPr>
          <w:sz w:val="24"/>
        </w:rPr>
      </w:pPr>
      <w:r>
        <w:rPr>
          <w:sz w:val="24"/>
        </w:rPr>
        <w:t>The first and last payment dates are November 27, 2000 and July 25, 2005.</w:t>
      </w:r>
    </w:p>
    <w:p>
      <w:pPr>
        <w:pStyle w:val="Normal"/>
        <w:numPr>
          <w:ilvl w:val="0"/>
          <w:numId w:val="3"/>
        </w:numPr>
        <w:tabs>
          <w:tab w:val="clear" w:pos="720"/>
          <w:tab w:val="left" w:pos="1080" w:leader="none"/>
        </w:tabs>
        <w:ind w:hanging="360" w:start="1080" w:end="0"/>
        <w:rPr>
          <w:sz w:val="24"/>
        </w:rPr>
      </w:pPr>
      <w:r>
        <w:rPr>
          <w:sz w:val="24"/>
        </w:rPr>
        <w:t>The net cash to Enron is $645, 595, 602.</w:t>
      </w:r>
    </w:p>
    <w:p>
      <w:pPr>
        <w:pStyle w:val="Normal"/>
        <w:numPr>
          <w:ilvl w:val="0"/>
          <w:numId w:val="3"/>
        </w:numPr>
        <w:tabs>
          <w:tab w:val="clear" w:pos="720"/>
          <w:tab w:val="left" w:pos="1080" w:leader="none"/>
        </w:tabs>
        <w:ind w:hanging="360" w:start="1080" w:end="0"/>
        <w:rPr>
          <w:sz w:val="24"/>
        </w:rPr>
      </w:pPr>
      <w:r>
        <w:rPr>
          <w:sz w:val="24"/>
        </w:rPr>
        <w:t>The total amount of repayment is $799,369,434.30</w:t>
      </w:r>
    </w:p>
    <w:p>
      <w:pPr>
        <w:pStyle w:val="Normal"/>
        <w:numPr>
          <w:ilvl w:val="0"/>
          <w:numId w:val="3"/>
        </w:numPr>
        <w:tabs>
          <w:tab w:val="clear" w:pos="720"/>
          <w:tab w:val="left" w:pos="1080" w:leader="none"/>
        </w:tabs>
        <w:ind w:hanging="360" w:start="1080" w:end="0"/>
        <w:rPr>
          <w:sz w:val="24"/>
        </w:rPr>
      </w:pPr>
      <w:r>
        <w:rPr>
          <w:sz w:val="24"/>
        </w:rPr>
        <w:t>Unlike the Yosemite transaction, the principal is repaid over time.</w:t>
      </w:r>
    </w:p>
    <w:p>
      <w:pPr>
        <w:pStyle w:val="Normal"/>
        <w:rPr>
          <w:sz w:val="24"/>
        </w:rPr>
      </w:pPr>
      <w:r>
        <w:rPr>
          <w:sz w:val="24"/>
        </w:rPr>
      </w:r>
    </w:p>
    <w:p>
      <w:pPr>
        <w:pStyle w:val="Normal"/>
        <w:ind w:start="720" w:end="0"/>
        <w:rPr>
          <w:sz w:val="24"/>
        </w:rPr>
      </w:pPr>
      <w:r>
        <w:rPr>
          <w:sz w:val="24"/>
        </w:rPr>
        <w:t>We are currently seeking similar information for all prepays.</w:t>
      </w:r>
      <w:r>
        <w:br w:type="page"/>
      </w:r>
    </w:p>
    <w:p>
      <w:pPr>
        <w:pStyle w:val="Normal"/>
        <w:spacing w:lineRule="auto" w:line="480"/>
        <w:rPr>
          <w:sz w:val="24"/>
        </w:rPr>
      </w:pPr>
      <w:r>
        <w:rPr>
          <w:sz w:val="24"/>
        </w:rPr>
      </w:r>
    </w:p>
    <w:p>
      <w:pPr>
        <w:pStyle w:val="Normal"/>
        <w:spacing w:lineRule="auto" w:line="480"/>
        <w:rPr>
          <w:sz w:val="24"/>
        </w:rPr>
      </w:pPr>
      <w:r>
        <w:rPr>
          <w:sz w:val="24"/>
        </w:rPr>
      </w:r>
    </w:p>
    <w:p>
      <w:pPr>
        <w:pStyle w:val="Normal"/>
        <w:spacing w:lineRule="auto" w:line="480"/>
        <w:rPr>
          <w:sz w:val="24"/>
        </w:rPr>
      </w:pPr>
      <w:r>
        <w:rPr>
          <w:sz w:val="24"/>
        </w:rPr>
      </w:r>
    </w:p>
    <w:p>
      <w:pPr>
        <w:pStyle w:val="Normal"/>
        <w:spacing w:lineRule="auto" w:line="480"/>
        <w:rPr>
          <w:sz w:val="24"/>
        </w:rPr>
      </w:pPr>
      <w:r>
        <w:rPr>
          <w:sz w:val="24"/>
        </w:rPr>
      </w:r>
    </w:p>
    <w:p>
      <w:pPr>
        <w:pStyle w:val="Normal"/>
        <w:spacing w:lineRule="auto" w:line="480"/>
        <w:rPr>
          <w:sz w:val="24"/>
        </w:rPr>
      </w:pPr>
      <w:r>
        <w:rPr>
          <w:sz w:val="24"/>
        </w:rPr>
      </w:r>
    </w:p>
    <w:p>
      <w:pPr>
        <w:pStyle w:val="Normal"/>
        <w:spacing w:lineRule="auto" w:line="480"/>
        <w:rPr>
          <w:sz w:val="24"/>
        </w:rPr>
      </w:pPr>
      <w:r>
        <w:rPr>
          <w:sz w:val="24"/>
        </w:rPr>
      </w:r>
    </w:p>
    <w:p>
      <w:pPr>
        <w:pStyle w:val="Normal"/>
        <w:spacing w:lineRule="auto" w:line="480"/>
        <w:rPr>
          <w:sz w:val="24"/>
        </w:rPr>
      </w:pPr>
      <w:r>
        <w:rPr>
          <w:sz w:val="24"/>
        </w:rPr>
      </w:r>
    </w:p>
    <w:p>
      <w:pPr>
        <w:pStyle w:val="Normal"/>
        <w:spacing w:lineRule="auto" w:line="480"/>
        <w:rPr>
          <w:sz w:val="24"/>
        </w:rPr>
      </w:pPr>
      <w:r>
        <w:rPr>
          <w:sz w:val="24"/>
        </w:rPr>
      </w:r>
    </w:p>
    <w:p>
      <w:pPr>
        <w:pStyle w:val="Normal"/>
        <w:spacing w:lineRule="auto" w:line="480"/>
        <w:ind w:firstLine="720" w:end="0"/>
        <w:rPr>
          <w:sz w:val="24"/>
        </w:rPr>
      </w:pPr>
      <w:r>
        <w:rPr>
          <w:sz w:val="24"/>
        </w:rPr>
        <w:object w:dxaOrig="10240" w:dyaOrig="7425">
          <v:shapetype id="_x0000_tole_rId15" coordsize="21600,21600" o:spt="ole_rId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 type="_x0000_tole_rId15" style="position:absolute;margin-left:-39.6pt;margin-top:8.4pt;width:513pt;height:372pt;mso-wrap-distance-left:9.05pt;mso-wrap-distance-right:9.05pt;mso-position-horizontal-relative:text;mso-position-vertical-relative:text" filled="f" o:ole="">
            <v:imagedata r:id="rId16" o:title=""/>
            <w10:wrap type="topAndBottom"/>
          </v:shape>
          <o:OLEObject Type="Embed" ProgID="Excel.Sheet.12" ShapeID="ole_rId15" DrawAspect="Content" ObjectID="_473674051" r:id="rId15"/>
        </w:object>
      </w:r>
    </w:p>
    <w:p>
      <w:pPr>
        <w:pStyle w:val="Normal"/>
        <w:spacing w:lineRule="auto" w:line="480"/>
        <w:ind w:firstLine="720" w:end="0"/>
        <w:rPr>
          <w:sz w:val="24"/>
        </w:rPr>
      </w:pPr>
      <w:r>
        <w:rPr>
          <w:sz w:val="24"/>
        </w:rPr>
        <w:t>Figure 9.  Payment stream for the Chase Mehonia IX Gas Prepay.</w:t>
      </w:r>
      <w:r>
        <w:br w:type="page"/>
      </w:r>
    </w:p>
    <w:p>
      <w:pPr>
        <w:pStyle w:val="Normal"/>
        <w:spacing w:lineRule="auto" w:line="480"/>
        <w:ind w:end="0"/>
        <w:rPr>
          <w:sz w:val="24"/>
          <w:u w:val="single"/>
        </w:rPr>
      </w:pPr>
      <w:r>
        <w:rPr>
          <w:sz w:val="24"/>
          <w:u w:val="single"/>
        </w:rPr>
        <w:t>Employee Stock Option Grants</w:t>
      </w:r>
    </w:p>
    <w:p>
      <w:pPr>
        <w:pStyle w:val="Normal"/>
        <w:spacing w:lineRule="auto" w:line="480"/>
        <w:ind w:firstLine="720" w:end="0"/>
        <w:rPr>
          <w:sz w:val="24"/>
        </w:rPr>
      </w:pPr>
      <w:r>
        <w:rPr>
          <w:sz w:val="24"/>
        </w:rPr>
        <w:t>Employee stock option grants present another angle to the asset liability management problem.  Recently, questions have been raised by analysts about the effect of option grants on the stock price for certain technology companies.  This issue has also been raised by some of the management at Enron.</w:t>
      </w:r>
    </w:p>
    <w:p>
      <w:pPr>
        <w:pStyle w:val="Normal"/>
        <w:spacing w:lineRule="auto" w:line="480"/>
        <w:ind w:firstLine="720" w:end="0"/>
        <w:rPr>
          <w:sz w:val="24"/>
        </w:rPr>
      </w:pPr>
      <w:r>
        <w:rPr>
          <w:sz w:val="24"/>
        </w:rPr>
        <w:t>As a first step, we would like to get a basic understanding of the options, particularly their expected lifetime, the distribution of option exercise times as a function of extrinsic value and vesting dates, and any type of hedging that is done to offset the option grant exposure.</w:t>
      </w:r>
    </w:p>
    <w:p>
      <w:pPr>
        <w:pStyle w:val="Normal"/>
        <w:spacing w:lineRule="auto" w:line="480"/>
        <w:ind w:firstLine="720" w:end="0"/>
        <w:rPr>
          <w:sz w:val="24"/>
        </w:rPr>
      </w:pPr>
      <w:r>
        <w:rPr>
          <w:sz w:val="24"/>
        </w:rPr>
        <w:t>The contact for option grant information is Michael Feuerbacher, a Director in Executive Compensation.  We have requested the following information: name, number of options granted, vesting date, expiry date, strike, options exercised, exercise price, and date of exercise.  We intend to fit an actuarial model to predict option exercises, and build some useful rules of thumb when thinking about the future. For example, it was observed in June of last summer that on the option vesting date that the share price for Enron common stock fell approximately $4.  This was attributed to employees immediately exercising their options.  We intend to quantify such behavior.</w:t>
      </w:r>
    </w:p>
    <w:p>
      <w:pPr>
        <w:pStyle w:val="Normal"/>
        <w:spacing w:lineRule="auto" w:line="480"/>
        <w:ind w:firstLine="720" w:end="0"/>
        <w:rPr>
          <w:sz w:val="24"/>
        </w:rPr>
      </w:pPr>
      <w:r>
        <w:rPr>
          <w:sz w:val="24"/>
        </w:rPr>
        <w:t xml:space="preserve">Before going into any statistics, we note a few things.  Employees are required to set up an account with Prudential Securities in order to exercise any options.  When an employee performs a cashless exercise, the shares are taken from Treasury Stock and sold on the open market.  This increases the number of shares outstanding and dilutes our earnings per share.  Furthermore, there is no hedge in place.  That is, there is no program such as a stock repurchase program to offset the dilution.  Recently however, David Port’s group has been looking into option hedging strategies.  </w:t>
      </w:r>
    </w:p>
    <w:p>
      <w:pPr>
        <w:pStyle w:val="Normal"/>
        <w:spacing w:lineRule="auto" w:line="480"/>
        <w:ind w:firstLine="720" w:end="0"/>
        <w:rPr>
          <w:sz w:val="24"/>
        </w:rPr>
      </w:pPr>
      <w:r>
        <w:rPr>
          <w:sz w:val="24"/>
        </w:rPr>
        <w:t xml:space="preserve">Enron’s annual report indicates an expected lifetime of the options of about 3.7 years.  This calculation is performed by PriceWaterhouseCoopers.  </w:t>
      </w:r>
    </w:p>
    <w:p>
      <w:pPr>
        <w:pStyle w:val="Normal"/>
        <w:spacing w:lineRule="auto" w:line="480"/>
        <w:ind w:firstLine="720" w:end="0"/>
        <w:rPr>
          <w:sz w:val="24"/>
        </w:rPr>
      </w:pPr>
      <w:r>
        <w:rPr>
          <w:sz w:val="24"/>
          <w:lang w:val="en-CA"/>
        </w:rPr>
        <w:t>At the time of this writing, Michael is pulling together the data.  About two years ago, his group changed IT systems, and this has slightly complicated things.  Prudential uses the exact same system, and cannot provide any additional information that Michael does not already have.</w:t>
      </w:r>
    </w:p>
    <w:p>
      <w:pPr>
        <w:pStyle w:val="Normal"/>
        <w:ind w:firstLine="720" w:end="0"/>
        <w:rPr>
          <w:sz w:val="24"/>
        </w:rPr>
      </w:pPr>
      <w:r>
        <w:rPr>
          <w:sz w:val="24"/>
        </w:rPr>
      </w:r>
    </w:p>
    <w:p>
      <w:pPr>
        <w:pStyle w:val="Heading5"/>
        <w:rPr/>
      </w:pPr>
      <w:r>
        <w:rPr/>
        <w:t>Long Term Debt Management</w:t>
      </w:r>
    </w:p>
    <w:p>
      <w:pPr>
        <w:pStyle w:val="Normal"/>
        <w:spacing w:lineRule="auto" w:line="480"/>
        <w:ind w:firstLine="720" w:end="0"/>
        <w:rPr>
          <w:sz w:val="24"/>
        </w:rPr>
      </w:pPr>
      <w:r>
        <w:rPr>
          <w:sz w:val="24"/>
        </w:rPr>
        <w:t>We found that the information about Enron’s long term debt exists in at least four different places.  Much of this information is duplicated, and frequently the numbers do not match exactly.  Jill Erwin is constructing a long term debt database that will be bolted onto Treasury Workstation 2000.  This database will eliminate the need for any other long term debt record.  We spoke with Jill in late January, and she indicated that they will be finished by early March.  The only thing left to do was to manually type in the information.  Our offer to input the information was declined.</w:t>
      </w:r>
    </w:p>
    <w:p>
      <w:pPr>
        <w:pStyle w:val="Normal"/>
        <w:ind w:firstLine="720" w:end="0"/>
        <w:rPr>
          <w:sz w:val="24"/>
        </w:rPr>
      </w:pPr>
      <w:r>
        <w:rPr>
          <w:sz w:val="24"/>
        </w:rPr>
      </w:r>
    </w:p>
    <w:p>
      <w:pPr>
        <w:pStyle w:val="Heading5"/>
        <w:rPr/>
      </w:pPr>
      <w:r>
        <w:rPr/>
        <w:t>Guarantees</w:t>
      </w:r>
    </w:p>
    <w:p>
      <w:pPr>
        <w:pStyle w:val="Normal"/>
        <w:spacing w:lineRule="auto" w:line="480"/>
        <w:ind w:firstLine="720" w:end="0"/>
        <w:rPr>
          <w:sz w:val="24"/>
        </w:rPr>
      </w:pPr>
      <w:r>
        <w:rPr>
          <w:sz w:val="24"/>
        </w:rPr>
        <w:t>Enron has guaranteed certain contracts for various subsidiaries.  Jill Erwin maintains a list of guarantees, and we have included it in Appendix J.  We estimate that there are about 2731 guarantees.  Jill classifies guarantees as the following: Trade (Payment &amp; Performance), EOTT Trade, Swap Agreements (Master &amp; Individual), Projects (Non-Debt), Debt (Consolidated and Unconsolidated).  We have included a chart of our guarantees in Figure 10.  Clearly, our guarantees have grown over time, and this trend is likely to continue.  The Trade category represents the largest exposure.  Currently, we are attempting to determine the risks inherent in the guarantees, but have not produced anything conclusive.  At the time of this writing, we are still looking into the matter.</w:t>
      </w:r>
      <w:r>
        <w:br w:type="page"/>
      </w:r>
    </w:p>
    <w:p>
      <w:pPr>
        <w:pStyle w:val="Normal"/>
        <w:spacing w:lineRule="auto" w:line="480"/>
        <w:ind w:end="0"/>
        <w:rPr>
          <w:sz w:val="24"/>
        </w:rPr>
      </w:pPr>
      <w:r>
        <w:rPr>
          <w:sz w:val="24"/>
        </w:rPr>
      </w:r>
    </w:p>
    <w:p>
      <w:pPr>
        <w:pStyle w:val="Normal"/>
        <w:spacing w:lineRule="auto" w:line="480"/>
        <w:ind w:firstLine="720" w:end="0"/>
        <w:rPr>
          <w:sz w:val="24"/>
          <w:lang w:val="en-CA"/>
        </w:rPr>
      </w:pPr>
      <w:r>
        <w:rPr>
          <w:sz w:val="24"/>
          <w:lang w:val="en-CA"/>
        </w:rPr>
        <w:drawing>
          <wp:anchor behindDoc="0" distT="0" distB="0" distL="114935" distR="114935" simplePos="0" locked="0" layoutInCell="1" allowOverlap="1" relativeHeight="88">
            <wp:simplePos x="0" y="0"/>
            <wp:positionH relativeFrom="column">
              <wp:posOffset>-411480</wp:posOffset>
            </wp:positionH>
            <wp:positionV relativeFrom="paragraph">
              <wp:posOffset>-990600</wp:posOffset>
            </wp:positionV>
            <wp:extent cx="6356985" cy="4051300"/>
            <wp:effectExtent l="0" t="0" r="0" b="0"/>
            <wp:wrapNone/>
            <wp:docPr id="2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 descr="" title=""/>
                    <pic:cNvPicPr>
                      <a:picLocks noChangeAspect="1" noChangeArrowheads="1"/>
                    </pic:cNvPicPr>
                  </pic:nvPicPr>
                  <pic:blipFill>
                    <a:blip r:embed="rId17"/>
                    <a:srcRect l="-5" t="-8" r="-5" b="-8"/>
                    <a:stretch>
                      <a:fillRect/>
                    </a:stretch>
                  </pic:blipFill>
                  <pic:spPr bwMode="auto">
                    <a:xfrm>
                      <a:off x="0" y="0"/>
                      <a:ext cx="6356985" cy="4051300"/>
                    </a:xfrm>
                    <a:prstGeom prst="rect">
                      <a:avLst/>
                    </a:prstGeom>
                    <a:noFill/>
                  </pic:spPr>
                </pic:pic>
              </a:graphicData>
            </a:graphic>
          </wp:anchor>
        </w:drawing>
      </w:r>
    </w:p>
    <w:p>
      <w:pPr>
        <w:pStyle w:val="Normal"/>
        <w:spacing w:lineRule="auto" w:line="480"/>
        <w:ind w:firstLine="720" w:end="0"/>
        <w:rPr>
          <w:sz w:val="24"/>
        </w:rPr>
      </w:pPr>
      <w:r>
        <w:rPr>
          <w:sz w:val="24"/>
        </w:rPr>
      </w:r>
    </w:p>
    <w:p>
      <w:pPr>
        <w:pStyle w:val="Normal"/>
        <w:spacing w:lineRule="auto" w:line="480"/>
        <w:ind w:firstLine="720" w:end="0"/>
        <w:rPr>
          <w:sz w:val="24"/>
        </w:rPr>
      </w:pPr>
      <w:r>
        <w:rPr>
          <w:sz w:val="24"/>
        </w:rPr>
      </w:r>
    </w:p>
    <w:p>
      <w:pPr>
        <w:pStyle w:val="Normal"/>
        <w:spacing w:lineRule="auto" w:line="480"/>
        <w:ind w:firstLine="720" w:end="0"/>
        <w:rPr>
          <w:sz w:val="24"/>
        </w:rPr>
      </w:pPr>
      <w:r>
        <w:rPr>
          <w:sz w:val="24"/>
        </w:rPr>
      </w:r>
    </w:p>
    <w:p>
      <w:pPr>
        <w:pStyle w:val="Normal"/>
        <w:spacing w:lineRule="auto" w:line="480"/>
        <w:ind w:firstLine="720" w:end="0"/>
        <w:rPr>
          <w:sz w:val="24"/>
        </w:rPr>
      </w:pPr>
      <w:r>
        <w:rPr>
          <w:sz w:val="24"/>
        </w:rPr>
      </w:r>
    </w:p>
    <w:p>
      <w:pPr>
        <w:pStyle w:val="Normal"/>
        <w:spacing w:lineRule="auto" w:line="480"/>
        <w:ind w:firstLine="720" w:end="0"/>
        <w:rPr>
          <w:sz w:val="24"/>
        </w:rPr>
      </w:pPr>
      <w:r>
        <w:rPr>
          <w:sz w:val="24"/>
        </w:rPr>
      </w:r>
    </w:p>
    <w:p>
      <w:pPr>
        <w:pStyle w:val="Normal"/>
        <w:spacing w:lineRule="auto" w:line="480"/>
        <w:ind w:firstLine="720" w:end="0"/>
        <w:rPr>
          <w:sz w:val="24"/>
        </w:rPr>
      </w:pPr>
      <w:r>
        <w:rPr>
          <w:sz w:val="24"/>
        </w:rPr>
      </w:r>
    </w:p>
    <w:p>
      <w:pPr>
        <w:pStyle w:val="Normal"/>
        <w:spacing w:lineRule="auto" w:line="480"/>
        <w:ind w:firstLine="720" w:end="0"/>
        <w:rPr>
          <w:sz w:val="24"/>
        </w:rPr>
      </w:pPr>
      <w:r>
        <w:rPr>
          <w:sz w:val="24"/>
        </w:rPr>
      </w:r>
    </w:p>
    <w:p>
      <w:pPr>
        <w:pStyle w:val="Normal"/>
        <w:spacing w:lineRule="auto" w:line="480"/>
        <w:ind w:firstLine="720" w:end="0"/>
        <w:rPr>
          <w:sz w:val="24"/>
        </w:rPr>
      </w:pPr>
      <w:r>
        <w:rPr>
          <w:sz w:val="24"/>
        </w:rPr>
      </w:r>
    </w:p>
    <w:p>
      <w:pPr>
        <w:pStyle w:val="Normal"/>
        <w:spacing w:lineRule="auto" w:line="480"/>
        <w:ind w:firstLine="720" w:end="0"/>
        <w:rPr>
          <w:sz w:val="24"/>
          <w:lang w:val="en-CA"/>
        </w:rPr>
      </w:pPr>
      <w:r>
        <w:rPr>
          <w:sz w:val="24"/>
          <w:lang w:val="en-CA"/>
        </w:rPr>
        <w:drawing>
          <wp:anchor behindDoc="0" distT="0" distB="0" distL="114935" distR="114935" simplePos="0" locked="0" layoutInCell="1" allowOverlap="1" relativeHeight="89">
            <wp:simplePos x="0" y="0"/>
            <wp:positionH relativeFrom="column">
              <wp:posOffset>-411480</wp:posOffset>
            </wp:positionH>
            <wp:positionV relativeFrom="paragraph">
              <wp:posOffset>243840</wp:posOffset>
            </wp:positionV>
            <wp:extent cx="6347460" cy="4024630"/>
            <wp:effectExtent l="0" t="0" r="0" b="0"/>
            <wp:wrapNone/>
            <wp:docPr id="25"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4" descr="" title=""/>
                    <pic:cNvPicPr>
                      <a:picLocks noChangeAspect="1" noChangeArrowheads="1"/>
                    </pic:cNvPicPr>
                  </pic:nvPicPr>
                  <pic:blipFill>
                    <a:blip r:embed="rId18"/>
                    <a:srcRect l="-5" t="-8" r="-5" b="-8"/>
                    <a:stretch>
                      <a:fillRect/>
                    </a:stretch>
                  </pic:blipFill>
                  <pic:spPr bwMode="auto">
                    <a:xfrm>
                      <a:off x="0" y="0"/>
                      <a:ext cx="6347460" cy="4024630"/>
                    </a:xfrm>
                    <a:prstGeom prst="rect">
                      <a:avLst/>
                    </a:prstGeom>
                    <a:noFill/>
                  </pic:spPr>
                </pic:pic>
              </a:graphicData>
            </a:graphic>
          </wp:anchor>
        </w:drawing>
      </w:r>
    </w:p>
    <w:p>
      <w:pPr>
        <w:pStyle w:val="Normal"/>
        <w:spacing w:lineRule="auto" w:line="480"/>
        <w:ind w:firstLine="720" w:end="0"/>
        <w:rPr>
          <w:sz w:val="24"/>
        </w:rPr>
      </w:pPr>
      <w:r>
        <w:rPr>
          <w:sz w:val="24"/>
        </w:rPr>
      </w:r>
    </w:p>
    <w:p>
      <w:pPr>
        <w:pStyle w:val="Normal"/>
        <w:spacing w:lineRule="auto" w:line="480"/>
        <w:ind w:firstLine="720" w:end="0"/>
        <w:rPr>
          <w:sz w:val="24"/>
        </w:rPr>
      </w:pPr>
      <w:r>
        <w:rPr>
          <w:sz w:val="24"/>
        </w:rPr>
      </w:r>
    </w:p>
    <w:p>
      <w:pPr>
        <w:pStyle w:val="Normal"/>
        <w:spacing w:lineRule="auto" w:line="480"/>
        <w:ind w:firstLine="720" w:end="0"/>
        <w:rPr>
          <w:sz w:val="24"/>
        </w:rPr>
      </w:pPr>
      <w:r>
        <w:rPr>
          <w:sz w:val="24"/>
        </w:rPr>
      </w:r>
    </w:p>
    <w:p>
      <w:pPr>
        <w:pStyle w:val="Normal"/>
        <w:spacing w:lineRule="auto" w:line="480"/>
        <w:ind w:firstLine="720" w:end="0"/>
        <w:rPr>
          <w:sz w:val="24"/>
        </w:rPr>
      </w:pPr>
      <w:r>
        <w:rPr>
          <w:sz w:val="24"/>
        </w:rPr>
      </w:r>
    </w:p>
    <w:p>
      <w:pPr>
        <w:pStyle w:val="Normal"/>
        <w:spacing w:lineRule="auto" w:line="480"/>
        <w:ind w:firstLine="720" w:end="0"/>
        <w:rPr>
          <w:sz w:val="24"/>
        </w:rPr>
      </w:pPr>
      <w:r>
        <w:rPr>
          <w:sz w:val="24"/>
        </w:rPr>
      </w:r>
    </w:p>
    <w:p>
      <w:pPr>
        <w:pStyle w:val="Normal"/>
        <w:spacing w:lineRule="auto" w:line="480"/>
        <w:ind w:firstLine="720" w:end="0"/>
        <w:rPr>
          <w:sz w:val="24"/>
        </w:rPr>
      </w:pPr>
      <w:r>
        <w:rPr>
          <w:sz w:val="24"/>
        </w:rPr>
      </w:r>
    </w:p>
    <w:p>
      <w:pPr>
        <w:pStyle w:val="Normal"/>
        <w:spacing w:lineRule="auto" w:line="480"/>
        <w:ind w:firstLine="720" w:end="0"/>
        <w:rPr>
          <w:sz w:val="24"/>
        </w:rPr>
      </w:pPr>
      <w:r>
        <w:rPr>
          <w:sz w:val="24"/>
        </w:rPr>
      </w:r>
    </w:p>
    <w:p>
      <w:pPr>
        <w:pStyle w:val="Normal"/>
        <w:spacing w:lineRule="auto" w:line="480"/>
        <w:ind w:firstLine="720" w:end="0"/>
        <w:rPr>
          <w:sz w:val="24"/>
        </w:rPr>
      </w:pPr>
      <w:r>
        <w:rPr>
          <w:sz w:val="24"/>
        </w:rPr>
      </w:r>
    </w:p>
    <w:p>
      <w:pPr>
        <w:pStyle w:val="Normal"/>
        <w:spacing w:lineRule="auto" w:line="480"/>
        <w:ind w:firstLine="720" w:end="0"/>
        <w:rPr>
          <w:sz w:val="24"/>
        </w:rPr>
      </w:pPr>
      <w:r>
        <w:rPr>
          <w:sz w:val="24"/>
        </w:rPr>
      </w:r>
    </w:p>
    <w:p>
      <w:pPr>
        <w:pStyle w:val="Normal"/>
        <w:spacing w:lineRule="auto" w:line="480"/>
        <w:ind w:firstLine="720" w:end="0"/>
        <w:rPr>
          <w:sz w:val="24"/>
        </w:rPr>
      </w:pPr>
      <w:r>
        <w:rPr>
          <w:sz w:val="24"/>
        </w:rPr>
      </w:r>
    </w:p>
    <w:p>
      <w:pPr>
        <w:pStyle w:val="Normal"/>
        <w:spacing w:lineRule="auto" w:line="480"/>
        <w:ind w:firstLine="720" w:end="0"/>
        <w:rPr>
          <w:sz w:val="24"/>
        </w:rPr>
      </w:pPr>
      <w:r>
        <w:rPr>
          <w:sz w:val="24"/>
        </w:rPr>
      </w:r>
    </w:p>
    <w:p>
      <w:pPr>
        <w:pStyle w:val="Normal"/>
        <w:ind w:firstLine="720" w:end="0"/>
        <w:rPr>
          <w:sz w:val="24"/>
        </w:rPr>
      </w:pPr>
      <w:r>
        <w:rPr>
          <w:sz w:val="24"/>
        </w:rPr>
      </w:r>
    </w:p>
    <w:p>
      <w:pPr>
        <w:pStyle w:val="BodyTextIndent"/>
        <w:spacing w:lineRule="auto" w:line="240"/>
        <w:rPr/>
      </w:pPr>
      <w:r>
        <w:rPr/>
        <w:t xml:space="preserve">Figure 10.  Enron guarantees: time behavior and category type.  </w:t>
      </w:r>
      <w:r>
        <w:br w:type="page"/>
      </w:r>
    </w:p>
    <w:p>
      <w:pPr>
        <w:pStyle w:val="BodyTextIndent"/>
        <w:spacing w:lineRule="auto" w:line="240"/>
        <w:jc w:val="center"/>
        <w:rPr/>
      </w:pPr>
      <w:r>
        <w:rPr/>
        <w:t>OPERATIONAL RISK MANAGEMENT</w:t>
      </w:r>
    </w:p>
    <w:p>
      <w:pPr>
        <w:pStyle w:val="BodyTextIndent"/>
        <w:spacing w:lineRule="auto" w:line="240"/>
        <w:rPr/>
      </w:pPr>
      <w:r>
        <w:rPr/>
      </w:r>
    </w:p>
    <w:p>
      <w:pPr>
        <w:pStyle w:val="BodyTextIndent"/>
        <w:rPr/>
      </w:pPr>
      <w:r>
        <w:rPr/>
        <w:t>The Operational Risk effort was started in October 2000 after the author was asked to speak on the topic at an Energy and Power Risk Management Conference.  The talk is included in Appendix K.  Kate Lucas joined the Research group at approximately this time, and has assisted in the Operational Risk effort.</w:t>
      </w:r>
    </w:p>
    <w:p>
      <w:pPr>
        <w:pStyle w:val="BodyTextIndent"/>
        <w:rPr/>
      </w:pPr>
      <w:r>
        <w:rPr/>
        <w:t>Operational Risk (OR) is a nebulous term.  The recent surge of interest in the topic is largely motivated by the investment banking community.  BASLE has decided to impose a capital charge based upon a bank’s operational risk.  Consequently, there has been a tremendous amount of effort by the banks to quantify this risk.  Also, sensing opportunity, the insurance industry has started to offer various types of hedges to the banks.  SwissRe appears to be leading the effort.</w:t>
      </w:r>
    </w:p>
    <w:p>
      <w:pPr>
        <w:pStyle w:val="BodyTextIndent"/>
        <w:rPr/>
      </w:pPr>
      <w:r>
        <w:rPr/>
        <w:t xml:space="preserve">OR for a company such as Enron is very different from the OR associated with a bank.  Banks tend to define OR as whatever remains after market risk and credit risk is removed.  This would include such things as booking and transaction errors as well as IT system failures.  Not only does Enron face similar problems, but Enron also has physical assets.  It is this fact that makes our problem set far larger.  </w:t>
      </w:r>
    </w:p>
    <w:p>
      <w:pPr>
        <w:pStyle w:val="BodyTextIndent"/>
        <w:rPr/>
      </w:pPr>
      <w:r>
        <w:rPr/>
        <w:t xml:space="preserve">The definition of OR that the author has proposed is “Anything that effects core operational capability.”  Adopting this definition allows us to address questions ranging from our own booking and transaction process to determining the necessity of a back up trading floor.  As is frequently the case at Enron, there are a number of efforts already underway, and different pieces of the puzzle already exist.  </w:t>
      </w:r>
    </w:p>
    <w:p>
      <w:pPr>
        <w:pStyle w:val="BodyTextIndent"/>
        <w:rPr/>
      </w:pPr>
      <w:r>
        <w:rPr/>
        <w:t xml:space="preserve">Regarding some of our physical assets, Don Hawkins has instituted an operational audit process for Enron’s totally owned international assets.  The operational audit process focuses on the performance of the asset </w:t>
      </w:r>
      <w:r>
        <w:rPr>
          <w:i/>
        </w:rPr>
        <w:t>operationally</w:t>
      </w:r>
      <w:r>
        <w:rPr/>
        <w:t xml:space="preserve"> as opposed to the performance of the asset financially.  Don sends an audit team to the facility for approximately one to three weeks.  The auditors choose 100--1500 questions and verification points for each audit from a database of over 5000 operational questions.  He has developed detailed operational standards to cover many types of assets.  These assets include gas pipelines, liquids pipelines, environmental safety and health, gas processing, LDC’s, and LNG/LPG facilities.  We have archived a copy of the operational standard for gas pipelines.  It is a several hundred page book that contains procedures and items of interest, and is very comprehensive.</w:t>
      </w:r>
    </w:p>
    <w:p>
      <w:pPr>
        <w:pStyle w:val="BodyTextIndent"/>
        <w:rPr/>
      </w:pPr>
      <w:r>
        <w:rPr/>
        <w:t>The audit team produces a report that contains a score based on a 100 point scale with a list of action items associated with improvement areas.  The action items are entered into a database and are tracked by the audit team.  Figure 11 shows a sample audit score decomposed into six categories.  We have also archived a sample report.</w:t>
      </w:r>
    </w:p>
    <w:p>
      <w:pPr>
        <w:pStyle w:val="BodyTextIndent"/>
        <w:rPr/>
      </w:pPr>
      <w:r>
        <w:rPr/>
        <w:t>There is a possibility of using the audit score to reduce insurance premiums.  It could be that the loss events surrounding a facility may be a function of the audit score.  If true, then we should be able to either negotiate a reduction in the insurance premium, or create an operational risk derivative that we could then take to the market.  The author has talked to Jim Bouillion and Jere Overdyke about this, but the OR derivative concept met its end when Jere Overdyke left Enron.  This question cannot be answered without loss data, and it is our understanding that such loss data does not exist.</w:t>
      </w:r>
    </w:p>
    <w:p>
      <w:pPr>
        <w:pStyle w:val="BodyTextIndent"/>
        <w:rPr/>
      </w:pPr>
      <w:r>
        <w:rPr/>
      </w:r>
      <w:r>
        <w:br w:type="page"/>
      </w:r>
    </w:p>
    <w:p>
      <w:pPr>
        <w:pStyle w:val="BodyTextIndent"/>
        <w:rPr/>
      </w:pPr>
      <w:r>
        <w:rPr/>
      </w:r>
    </w:p>
    <w:p>
      <w:pPr>
        <w:pStyle w:val="BodyTextIndent"/>
        <w:rPr>
          <w:lang w:val="en-CA"/>
        </w:rPr>
      </w:pPr>
      <w:r>
        <w:rPr>
          <w:lang w:val="en-CA"/>
        </w:rPr>
        <w:drawing>
          <wp:anchor behindDoc="0" distT="0" distB="0" distL="114935" distR="114935" simplePos="0" locked="0" layoutInCell="1" allowOverlap="1" relativeHeight="91">
            <wp:simplePos x="0" y="0"/>
            <wp:positionH relativeFrom="column">
              <wp:posOffset>685800</wp:posOffset>
            </wp:positionH>
            <wp:positionV relativeFrom="paragraph">
              <wp:posOffset>60960</wp:posOffset>
            </wp:positionV>
            <wp:extent cx="4389120" cy="4114800"/>
            <wp:effectExtent l="0" t="0" r="0" b="0"/>
            <wp:wrapNone/>
            <wp:docPr id="26"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5" descr="" title=""/>
                    <pic:cNvPicPr>
                      <a:picLocks noChangeAspect="1" noChangeArrowheads="1"/>
                    </pic:cNvPicPr>
                  </pic:nvPicPr>
                  <pic:blipFill>
                    <a:blip r:embed="rId19"/>
                    <a:srcRect l="16398" t="13531" r="21086" b="8323"/>
                    <a:stretch>
                      <a:fillRect/>
                    </a:stretch>
                  </pic:blipFill>
                  <pic:spPr bwMode="auto">
                    <a:xfrm>
                      <a:off x="0" y="0"/>
                      <a:ext cx="4389120" cy="4114800"/>
                    </a:xfrm>
                    <a:prstGeom prst="rect">
                      <a:avLst/>
                    </a:prstGeom>
                    <a:noFill/>
                  </pic:spPr>
                </pic:pic>
              </a:graphicData>
            </a:graphic>
          </wp:anchor>
        </w:drawing>
      </w:r>
    </w:p>
    <w:p>
      <w:pPr>
        <w:pStyle w:val="BodyTextIndent"/>
        <w:rPr/>
      </w:pPr>
      <w:r>
        <w:rPr/>
      </w:r>
    </w:p>
    <w:p>
      <w:pPr>
        <w:pStyle w:val="BodyTextIndent"/>
        <w:rPr/>
      </w:pPr>
      <w:r>
        <w:rPr/>
      </w:r>
    </w:p>
    <w:p>
      <w:pPr>
        <w:pStyle w:val="BodyTextIndent"/>
        <w:rPr/>
      </w:pPr>
      <w:r>
        <w:rPr/>
      </w:r>
    </w:p>
    <w:p>
      <w:pPr>
        <w:pStyle w:val="BodyTextIndent"/>
        <w:rPr/>
      </w:pPr>
      <w:r>
        <w:rPr/>
      </w:r>
    </w:p>
    <w:p>
      <w:pPr>
        <w:pStyle w:val="BodyTextIndent"/>
        <w:rPr/>
      </w:pPr>
      <w:r>
        <w:rPr/>
      </w:r>
    </w:p>
    <w:p>
      <w:pPr>
        <w:pStyle w:val="BodyTextIndent"/>
        <w:rPr/>
      </w:pPr>
      <w:r>
        <w:rPr/>
      </w:r>
    </w:p>
    <w:p>
      <w:pPr>
        <w:pStyle w:val="BodyTextIndent"/>
        <w:rPr/>
      </w:pPr>
      <w:r>
        <w:rPr/>
      </w:r>
    </w:p>
    <w:p>
      <w:pPr>
        <w:pStyle w:val="BodyTextIndent"/>
        <w:rPr/>
      </w:pPr>
      <w:r>
        <w:rPr/>
      </w:r>
    </w:p>
    <w:p>
      <w:pPr>
        <w:pStyle w:val="BodyTextIndent"/>
        <w:rPr/>
      </w:pPr>
      <w:r>
        <w:rPr/>
      </w:r>
    </w:p>
    <w:p>
      <w:pPr>
        <w:pStyle w:val="BodyTextIndent"/>
        <w:rPr/>
      </w:pPr>
      <w:r>
        <w:rPr/>
      </w:r>
    </w:p>
    <w:p>
      <w:pPr>
        <w:pStyle w:val="BodyTextIndent"/>
        <w:rPr/>
      </w:pPr>
      <w:r>
        <w:rPr/>
      </w:r>
    </w:p>
    <w:p>
      <w:pPr>
        <w:pStyle w:val="BodyTextIndent"/>
        <w:rPr/>
      </w:pPr>
      <w:r>
        <w:rPr/>
      </w:r>
    </w:p>
    <w:p>
      <w:pPr>
        <w:pStyle w:val="BodyTextIndent"/>
        <w:rPr/>
      </w:pPr>
      <w:r>
        <w:rPr/>
        <w:t>Figure 11.  Sample Operation Audit score broken into components.</w:t>
      </w:r>
    </w:p>
    <w:p>
      <w:pPr>
        <w:pStyle w:val="BodyTextIndent"/>
        <w:rPr/>
      </w:pPr>
      <w:r>
        <w:rPr/>
      </w:r>
    </w:p>
    <w:p>
      <w:pPr>
        <w:pStyle w:val="BodyTextIndent"/>
        <w:rPr/>
      </w:pPr>
      <w:r>
        <w:rPr/>
        <w:t>In the opinion of the author, it is not possible to improve upon Don Hawkins’ effort in any meaningful way.  It is recommended that Enron embrace his method, and extend it to include all partially owned facilities, and that EES use him as a resource as they seek to determine the efficiency gains from facility improvements.</w:t>
      </w:r>
    </w:p>
    <w:p>
      <w:pPr>
        <w:pStyle w:val="BodyTextIndent"/>
        <w:rPr/>
      </w:pPr>
      <w:r>
        <w:rPr/>
        <w:t>Mark Ruane’s group has also looked at OR, albeit a bit differently.  He and Mark Walker looked at OR as it relates to earnings volatility.  The scope of their effort is largely unknown.  It is our understanding that they are trying to formulate a relevant capital charge for different projects and business units based on an OR measure.</w:t>
      </w:r>
    </w:p>
    <w:p>
      <w:pPr>
        <w:pStyle w:val="BodyTextIndent"/>
        <w:rPr/>
      </w:pPr>
      <w:r>
        <w:rPr/>
        <w:t>Lately, Sally Beck’s group has become interested in OR.  They appear to be interested in OR management as it relates to the trading operations.  If true, then the approach will be similar to the approach that one finds in a bank.  Beth Apollo will be heading the OR effort, and we are to meet with her shortly.</w:t>
      </w:r>
    </w:p>
    <w:p>
      <w:pPr>
        <w:pStyle w:val="BodyTextIndent"/>
        <w:rPr/>
      </w:pPr>
      <w:r>
        <w:rPr/>
        <w:t xml:space="preserve">The author expects this effort to start in earnest shortly.  To that end, we have attended several conferences and have obtained a sizeable amount of literature on best practices.  This material has been archived by the group. </w:t>
      </w:r>
    </w:p>
    <w:sectPr>
      <w:headerReference w:type="default" r:id="rId20"/>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r>
      <mc:AlternateContent>
        <mc:Choice Requires="wps">
          <w:drawing>
            <wp:anchor behindDoc="0" distT="0" distB="0" distL="0" distR="0" simplePos="0" locked="0" layoutInCell="0" allowOverlap="1" relativeHeight="61">
              <wp:simplePos x="0" y="0"/>
              <wp:positionH relativeFrom="margin">
                <wp:align>right</wp:align>
              </wp:positionH>
              <wp:positionV relativeFrom="paragraph">
                <wp:posOffset>635</wp:posOffset>
              </wp:positionV>
              <wp:extent cx="127635" cy="146685"/>
              <wp:effectExtent l="0" t="0" r="0" b="0"/>
              <wp:wrapSquare wrapText="bothSides"/>
              <wp:docPr id="27" name="Frame1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21.95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59</w:t>
                    </w:r>
                    <w:r>
                      <w:rPr>
                        <w:rStyle w:val="PageNumber"/>
                      </w:rPr>
                      <w:fldChar w:fldCharType="end"/>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decimal"/>
      <w:lvlText w:val="%1)"/>
      <w:lvlJc w:val="start"/>
      <w:pPr>
        <w:tabs>
          <w:tab w:val="num" w:pos="1080"/>
        </w:tabs>
        <w:ind w:start="1080" w:hanging="360"/>
      </w:pPr>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sz w:val="24"/>
      <w:u w:val="single"/>
    </w:rPr>
  </w:style>
  <w:style w:type="paragraph" w:styleId="Heading3">
    <w:name w:val="heading 3"/>
    <w:basedOn w:val="Normal"/>
    <w:next w:val="Normal"/>
    <w:qFormat/>
    <w:pPr>
      <w:keepNext w:val="true"/>
      <w:numPr>
        <w:ilvl w:val="2"/>
        <w:numId w:val="1"/>
      </w:numPr>
      <w:spacing w:lineRule="auto" w:line="480"/>
      <w:ind w:firstLine="720" w:start="0" w:end="0"/>
      <w:jc w:val="center"/>
      <w:outlineLvl w:val="2"/>
    </w:pPr>
    <w:rPr>
      <w:sz w:val="24"/>
      <w:u w:val="single"/>
    </w:rPr>
  </w:style>
  <w:style w:type="paragraph" w:styleId="Heading4">
    <w:name w:val="heading 4"/>
    <w:basedOn w:val="Normal"/>
    <w:next w:val="Normal"/>
    <w:qFormat/>
    <w:pPr>
      <w:keepNext w:val="true"/>
      <w:numPr>
        <w:ilvl w:val="3"/>
        <w:numId w:val="1"/>
      </w:numPr>
      <w:spacing w:lineRule="auto" w:line="480"/>
      <w:ind w:firstLine="720" w:start="0" w:end="0"/>
      <w:jc w:val="center"/>
      <w:outlineLvl w:val="3"/>
    </w:pPr>
    <w:rPr>
      <w:sz w:val="24"/>
    </w:rPr>
  </w:style>
  <w:style w:type="paragraph" w:styleId="Heading5">
    <w:name w:val="heading 5"/>
    <w:basedOn w:val="Normal"/>
    <w:next w:val="Normal"/>
    <w:qFormat/>
    <w:pPr>
      <w:keepNext w:val="true"/>
      <w:numPr>
        <w:ilvl w:val="4"/>
        <w:numId w:val="1"/>
      </w:numPr>
      <w:spacing w:lineRule="auto" w:line="480"/>
      <w:ind w:firstLine="720" w:start="0" w:end="0"/>
      <w:outlineLvl w:val="4"/>
    </w:pPr>
    <w:rPr>
      <w:sz w:val="24"/>
      <w:u w:val="single"/>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firstLine="720" w:start="0" w:end="0"/>
    </w:pPr>
    <w:rPr>
      <w:sz w:val="24"/>
    </w:rPr>
  </w:style>
  <w:style w:type="paragraph" w:styleId="BodyTextIndent2">
    <w:name w:val="Body Text Indent 2"/>
    <w:basedOn w:val="Normal"/>
    <w:qFormat/>
    <w:pPr>
      <w:spacing w:lineRule="auto" w:line="480"/>
      <w:ind w:hanging="0" w:start="72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pel.br/copel/port/copel-i.html;" TargetMode="External"/><Relationship Id="rId3" Type="http://schemas.openxmlformats.org/officeDocument/2006/relationships/hyperlink" Target="http://www.elektro.com.br/;" TargetMode="External"/><Relationship Id="rId4" Type="http://schemas.openxmlformats.org/officeDocument/2006/relationships/hyperlink" Target="http://www.tgs.com.ar/ingles/index.htm" TargetMode="External"/><Relationship Id="rId5" Type="http://schemas.openxmlformats.org/officeDocument/2006/relationships/package" Target="embeddings/oleObject1.xlsx"/><Relationship Id="rId6" Type="http://schemas.openxmlformats.org/officeDocument/2006/relationships/image" Target="media/image1.wmf"/><Relationship Id="rId7" Type="http://schemas.openxmlformats.org/officeDocument/2006/relationships/package" Target="embeddings/oleObject2.xlsx"/><Relationship Id="rId8" Type="http://schemas.openxmlformats.org/officeDocument/2006/relationships/image" Target="media/image2.wmf"/><Relationship Id="rId9" Type="http://schemas.openxmlformats.org/officeDocument/2006/relationships/package" Target="embeddings/oleObject3.pptx"/><Relationship Id="rId10" Type="http://schemas.openxmlformats.org/officeDocument/2006/relationships/image" Target="media/image3.wmf"/><Relationship Id="rId11" Type="http://schemas.openxmlformats.org/officeDocument/2006/relationships/package" Target="embeddings/oleObject4.xlsx"/><Relationship Id="rId12" Type="http://schemas.openxmlformats.org/officeDocument/2006/relationships/image" Target="media/image4.wmf"/><Relationship Id="rId13" Type="http://schemas.openxmlformats.org/officeDocument/2006/relationships/image" Target="media/image5.wmf"/><Relationship Id="rId14" Type="http://schemas.openxmlformats.org/officeDocument/2006/relationships/image" Target="media/image6.wmf"/><Relationship Id="rId15" Type="http://schemas.openxmlformats.org/officeDocument/2006/relationships/package" Target="embeddings/oleObject5.xlsx"/><Relationship Id="rId16" Type="http://schemas.openxmlformats.org/officeDocument/2006/relationships/image" Target="media/image7.wmf"/><Relationship Id="rId17" Type="http://schemas.openxmlformats.org/officeDocument/2006/relationships/image" Target="media/image8.wmf"/><Relationship Id="rId18" Type="http://schemas.openxmlformats.org/officeDocument/2006/relationships/image" Target="media/image9.wmf"/><Relationship Id="rId19" Type="http://schemas.openxmlformats.org/officeDocument/2006/relationships/image" Target="media/image10.png"/><Relationship Id="rId20" Type="http://schemas.openxmlformats.org/officeDocument/2006/relationships/header" Target="header1.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1885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2001-01-16T20:29:00Z</dcterms:created>
  <dc:creator>kkindal</dc:creator>
  <dc:description/>
  <dc:language>en-CA</dc:language>
  <cp:lastModifiedBy>kkindal</cp:lastModifiedBy>
  <cp:lastPrinted>2001-03-01T17:16:00Z</cp:lastPrinted>
  <dcterms:modified xsi:type="dcterms:W3CDTF">2001-03-02T12:06:00Z</dcterms:modified>
  <cp:revision>118</cp:revision>
  <dc:subject/>
  <dc:title>Enterprise Wide Risk Management</dc:title>
</cp:coreProperties>
</file>