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4"/>
        <w:ind w:hanging="0" w:start="0"/>
        <w:rPr/>
      </w:pPr>
      <w:r>
        <w:rPr/>
        <w:t>Greater Houston Partnership</w:t>
        <w:tab/>
        <w:t>December 5, 2000</w:t>
      </w:r>
    </w:p>
    <w:p>
      <w:pPr>
        <w:pStyle w:val="Normal"/>
        <w:jc w:val="center"/>
        <w:rPr>
          <w:b/>
          <w:sz w:val="28"/>
        </w:rPr>
      </w:pPr>
      <w:r>
        <w:rPr>
          <w:b/>
          <w:sz w:val="28"/>
        </w:rPr>
      </w:r>
    </w:p>
    <w:p>
      <w:pPr>
        <w:pStyle w:val="Normal"/>
        <w:jc w:val="center"/>
        <w:rPr>
          <w:b/>
          <w:sz w:val="28"/>
        </w:rPr>
      </w:pPr>
      <w:r>
        <w:rPr>
          <w:b/>
          <w:sz w:val="28"/>
        </w:rPr>
        <w:t>Resolution of the Board of Directors</w:t>
      </w:r>
    </w:p>
    <w:p>
      <w:pPr>
        <w:pStyle w:val="Normal"/>
        <w:jc w:val="center"/>
        <w:rPr>
          <w:b/>
          <w:sz w:val="28"/>
        </w:rPr>
      </w:pPr>
      <w:r>
        <w:rPr>
          <w:b/>
          <w:sz w:val="28"/>
        </w:rPr>
        <w:t>In Support of Tax Incentives for Large Projects</w:t>
      </w:r>
    </w:p>
    <w:p>
      <w:pPr>
        <w:pStyle w:val="Heading3"/>
        <w:ind w:hanging="0" w:start="0"/>
        <w:rPr>
          <w:b w:val="false"/>
          <w:sz w:val="24"/>
        </w:rPr>
      </w:pPr>
      <w:r>
        <w:rPr>
          <w:b w:val="false"/>
          <w:sz w:val="24"/>
        </w:rPr>
      </w:r>
    </w:p>
    <w:p>
      <w:pPr>
        <w:pStyle w:val="Normal"/>
        <w:rPr>
          <w:sz w:val="24"/>
        </w:rPr>
      </w:pPr>
      <w:r>
        <w:rPr>
          <w:sz w:val="24"/>
        </w:rPr>
      </w:r>
    </w:p>
    <w:p>
      <w:pPr>
        <w:pStyle w:val="Normal"/>
        <w:rPr>
          <w:b/>
          <w:bCs/>
        </w:rPr>
      </w:pPr>
      <w:r>
        <w:rPr/>
        <w:t>The Greater Houston Partnership supports new tax incentives for mega-projects, new facilities or expansions valued at more than $100 million, that are expected to create at least 300 jobs.  School districts would be allowed to cap the property-tax valuation of a new investment at $100 million for 10 years.</w:t>
      </w:r>
    </w:p>
    <w:p>
      <w:pPr>
        <w:pStyle w:val="Normal"/>
        <w:rPr>
          <w:b/>
          <w:bCs/>
        </w:rPr>
      </w:pPr>
      <w:r>
        <w:rPr>
          <w:b/>
          <w:bCs/>
        </w:rPr>
      </w:r>
    </w:p>
    <w:p>
      <w:pPr>
        <w:pStyle w:val="Normal"/>
        <w:rPr>
          <w:b/>
          <w:bCs/>
        </w:rPr>
      </w:pPr>
      <w:r>
        <w:rPr>
          <w:b/>
          <w:bCs/>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tbl>
      <w:tblPr>
        <w:tblW w:w="9302" w:type="dxa"/>
        <w:jc w:val="start"/>
        <w:tblInd w:w="0" w:type="dxa"/>
        <w:tblLayout w:type="fixed"/>
        <w:tblCellMar>
          <w:top w:w="0" w:type="dxa"/>
          <w:start w:w="108" w:type="dxa"/>
          <w:bottom w:w="0" w:type="dxa"/>
          <w:end w:w="108" w:type="dxa"/>
        </w:tblCellMar>
      </w:tblPr>
      <w:tblGrid>
        <w:gridCol w:w="4334"/>
        <w:gridCol w:w="648"/>
        <w:gridCol w:w="4320"/>
      </w:tblGrid>
      <w:tr>
        <w:trPr/>
        <w:tc>
          <w:tcPr>
            <w:tcW w:w="4334" w:type="dxa"/>
            <w:tcBorders>
              <w:bottom w:val="single" w:sz="6" w:space="0" w:color="000000"/>
            </w:tcBorders>
          </w:tcPr>
          <w:p>
            <w:pPr>
              <w:pStyle w:val="Normal"/>
              <w:snapToGrid w:val="false"/>
              <w:rPr/>
            </w:pPr>
            <w:r>
              <w:rPr/>
            </w:r>
          </w:p>
        </w:tc>
        <w:tc>
          <w:tcPr>
            <w:tcW w:w="648" w:type="dxa"/>
            <w:tcBorders/>
          </w:tcPr>
          <w:p>
            <w:pPr>
              <w:pStyle w:val="Normal"/>
              <w:snapToGrid w:val="false"/>
              <w:rPr/>
            </w:pPr>
            <w:r>
              <w:rPr/>
            </w:r>
          </w:p>
        </w:tc>
        <w:tc>
          <w:tcPr>
            <w:tcW w:w="4320" w:type="dxa"/>
            <w:tcBorders>
              <w:bottom w:val="single" w:sz="6" w:space="0" w:color="000000"/>
            </w:tcBorders>
          </w:tcPr>
          <w:p>
            <w:pPr>
              <w:pStyle w:val="Normal"/>
              <w:snapToGrid w:val="false"/>
              <w:rPr/>
            </w:pPr>
            <w:r>
              <w:rPr/>
            </w:r>
          </w:p>
        </w:tc>
      </w:tr>
      <w:tr>
        <w:trPr/>
        <w:tc>
          <w:tcPr>
            <w:tcW w:w="4334" w:type="dxa"/>
            <w:tcBorders/>
          </w:tcPr>
          <w:p>
            <w:pPr>
              <w:pStyle w:val="Normal"/>
              <w:rPr/>
            </w:pPr>
            <w:r>
              <w:rPr/>
              <w:t>James R. Royer, Chairman</w:t>
            </w:r>
          </w:p>
        </w:tc>
        <w:tc>
          <w:tcPr>
            <w:tcW w:w="648" w:type="dxa"/>
            <w:tcBorders/>
          </w:tcPr>
          <w:p>
            <w:pPr>
              <w:pStyle w:val="Normal"/>
              <w:snapToGrid w:val="false"/>
              <w:rPr/>
            </w:pPr>
            <w:r>
              <w:rPr/>
            </w:r>
          </w:p>
        </w:tc>
        <w:tc>
          <w:tcPr>
            <w:tcW w:w="4320" w:type="dxa"/>
            <w:tcBorders/>
          </w:tcPr>
          <w:p>
            <w:pPr>
              <w:pStyle w:val="Normal"/>
              <w:rPr/>
            </w:pPr>
            <w:r>
              <w:rPr/>
              <w:t>Jim C. Kollaer, President &amp; CEO</w:t>
            </w:r>
          </w:p>
        </w:tc>
      </w:tr>
      <w:tr>
        <w:trPr/>
        <w:tc>
          <w:tcPr>
            <w:tcW w:w="4334" w:type="dxa"/>
            <w:tcBorders/>
          </w:tcPr>
          <w:p>
            <w:pPr>
              <w:pStyle w:val="Normal"/>
              <w:snapToGrid w:val="false"/>
              <w:rPr/>
            </w:pPr>
            <w:r>
              <w:rPr/>
            </w:r>
          </w:p>
        </w:tc>
        <w:tc>
          <w:tcPr>
            <w:tcW w:w="648" w:type="dxa"/>
            <w:tcBorders/>
          </w:tcPr>
          <w:p>
            <w:pPr>
              <w:pStyle w:val="Normal"/>
              <w:snapToGrid w:val="false"/>
              <w:rPr/>
            </w:pPr>
            <w:r>
              <w:rPr/>
            </w:r>
          </w:p>
        </w:tc>
        <w:tc>
          <w:tcPr>
            <w:tcW w:w="4320" w:type="dxa"/>
            <w:tcBorders/>
          </w:tcPr>
          <w:p>
            <w:pPr>
              <w:pStyle w:val="Normal"/>
              <w:snapToGrid w:val="false"/>
              <w:rPr/>
            </w:pPr>
            <w:r>
              <w:rPr/>
            </w:r>
          </w:p>
        </w:tc>
      </w:tr>
      <w:tr>
        <w:trPr>
          <w:trHeight w:val="450" w:hRule="atLeast"/>
        </w:trPr>
        <w:tc>
          <w:tcPr>
            <w:tcW w:w="4334" w:type="dxa"/>
            <w:tcBorders>
              <w:bottom w:val="single" w:sz="6" w:space="0" w:color="000000"/>
            </w:tcBorders>
          </w:tcPr>
          <w:p>
            <w:pPr>
              <w:pStyle w:val="Normal"/>
              <w:snapToGrid w:val="false"/>
              <w:rPr/>
            </w:pPr>
            <w:r>
              <w:rPr/>
            </w:r>
          </w:p>
          <w:p>
            <w:pPr>
              <w:pStyle w:val="Normal"/>
              <w:rPr/>
            </w:pPr>
            <w:r>
              <w:rPr/>
            </w:r>
          </w:p>
        </w:tc>
        <w:tc>
          <w:tcPr>
            <w:tcW w:w="648" w:type="dxa"/>
            <w:tcBorders/>
          </w:tcPr>
          <w:p>
            <w:pPr>
              <w:pStyle w:val="Normal"/>
              <w:snapToGrid w:val="false"/>
              <w:rPr/>
            </w:pPr>
            <w:r>
              <w:rPr/>
            </w:r>
          </w:p>
        </w:tc>
        <w:tc>
          <w:tcPr>
            <w:tcW w:w="4320" w:type="dxa"/>
            <w:tcBorders/>
          </w:tcPr>
          <w:p>
            <w:pPr>
              <w:pStyle w:val="Normal"/>
              <w:snapToGrid w:val="false"/>
              <w:rPr/>
            </w:pPr>
            <w:r>
              <w:rPr/>
            </w:r>
          </w:p>
        </w:tc>
      </w:tr>
      <w:tr>
        <w:trPr/>
        <w:tc>
          <w:tcPr>
            <w:tcW w:w="4334" w:type="dxa"/>
            <w:tcBorders/>
          </w:tcPr>
          <w:p>
            <w:pPr>
              <w:pStyle w:val="Normal"/>
              <w:rPr/>
            </w:pPr>
            <w:r>
              <w:rPr/>
              <w:t>R. Bruce  LaBoon, Secretary</w:t>
            </w:r>
          </w:p>
        </w:tc>
        <w:tc>
          <w:tcPr>
            <w:tcW w:w="648" w:type="dxa"/>
            <w:tcBorders/>
          </w:tcPr>
          <w:p>
            <w:pPr>
              <w:pStyle w:val="Normal"/>
              <w:snapToGrid w:val="false"/>
              <w:rPr/>
            </w:pPr>
            <w:r>
              <w:rPr/>
            </w:r>
          </w:p>
        </w:tc>
        <w:tc>
          <w:tcPr>
            <w:tcW w:w="4320" w:type="dxa"/>
            <w:tcBorders/>
          </w:tcPr>
          <w:p>
            <w:pPr>
              <w:pStyle w:val="Normal"/>
              <w:snapToGrid w:val="false"/>
              <w:rPr/>
            </w:pPr>
            <w:r>
              <w:rPr/>
            </w:r>
          </w:p>
        </w:tc>
      </w:tr>
    </w:tbl>
    <w:p>
      <w:pPr>
        <w:sectPr>
          <w:footerReference w:type="default" r:id="rId2"/>
          <w:type w:val="nextPage"/>
          <w:pgSz w:w="12240" w:h="15840"/>
          <w:pgMar w:left="1680" w:right="1680" w:gutter="0" w:header="0" w:top="1440" w:footer="960" w:bottom="1440"/>
          <w:pgNumType w:fmt="decimal"/>
          <w:formProt w:val="false"/>
          <w:textDirection w:val="lrTb"/>
          <w:docGrid w:type="default" w:linePitch="360" w:charSpace="0"/>
        </w:sectPr>
      </w:pPr>
    </w:p>
    <w:p>
      <w:pPr>
        <w:pStyle w:val="Heading1"/>
        <w:ind w:hanging="0" w:start="0"/>
        <w:jc w:val="start"/>
        <w:rPr>
          <w:b w:val="false"/>
          <w:bCs/>
          <w:sz w:val="18"/>
        </w:rPr>
      </w:pPr>
      <w:r>
        <w:rPr>
          <w:b w:val="false"/>
          <w:bCs/>
          <w:sz w:val="18"/>
        </w:rPr>
      </w:r>
    </w:p>
    <w:p>
      <w:pPr>
        <w:pStyle w:val="Heading1"/>
        <w:ind w:hanging="0" w:start="0"/>
        <w:jc w:val="start"/>
        <w:rPr>
          <w:sz w:val="28"/>
        </w:rPr>
      </w:pPr>
      <w:r>
        <w:rPr>
          <w:sz w:val="28"/>
        </w:rPr>
        <w:t>MEMORANDUM</w:t>
      </w:r>
    </w:p>
    <w:p>
      <w:pPr>
        <w:pStyle w:val="Normal"/>
        <w:rPr>
          <w:sz w:val="28"/>
        </w:rPr>
      </w:pPr>
      <w:r>
        <w:rPr>
          <w:sz w:val="28"/>
        </w:rPr>
      </w:r>
    </w:p>
    <w:tbl>
      <w:tblPr>
        <w:tblW w:w="9096" w:type="dxa"/>
        <w:jc w:val="start"/>
        <w:tblInd w:w="0" w:type="dxa"/>
        <w:tblLayout w:type="fixed"/>
        <w:tblCellMar>
          <w:top w:w="0" w:type="dxa"/>
          <w:start w:w="108" w:type="dxa"/>
          <w:bottom w:w="0" w:type="dxa"/>
          <w:end w:w="108" w:type="dxa"/>
        </w:tblCellMar>
      </w:tblPr>
      <w:tblGrid>
        <w:gridCol w:w="1440"/>
        <w:gridCol w:w="7656"/>
      </w:tblGrid>
      <w:tr>
        <w:trPr/>
        <w:tc>
          <w:tcPr>
            <w:tcW w:w="1440" w:type="dxa"/>
            <w:tcBorders/>
          </w:tcPr>
          <w:p>
            <w:pPr>
              <w:pStyle w:val="Normal"/>
              <w:rPr>
                <w:b/>
              </w:rPr>
            </w:pPr>
            <w:r>
              <w:rPr>
                <w:b/>
              </w:rPr>
              <w:t>DATE:</w:t>
            </w:r>
          </w:p>
        </w:tc>
        <w:tc>
          <w:tcPr>
            <w:tcW w:w="7656" w:type="dxa"/>
            <w:tcBorders/>
          </w:tcPr>
          <w:p>
            <w:pPr>
              <w:pStyle w:val="Normal"/>
              <w:rPr/>
            </w:pPr>
            <w:bookmarkStart w:id="0" w:name="memodate"/>
            <w:bookmarkEnd w:id="0"/>
            <w:r>
              <w:rPr/>
              <w:t>December 5, 2000</w:t>
            </w:r>
          </w:p>
        </w:tc>
      </w:tr>
      <w:tr>
        <w:trPr/>
        <w:tc>
          <w:tcPr>
            <w:tcW w:w="1440" w:type="dxa"/>
            <w:tcBorders/>
          </w:tcPr>
          <w:p>
            <w:pPr>
              <w:pStyle w:val="Normal"/>
              <w:snapToGrid w:val="false"/>
              <w:rPr/>
            </w:pPr>
            <w:r>
              <w:rPr/>
            </w:r>
          </w:p>
        </w:tc>
        <w:tc>
          <w:tcPr>
            <w:tcW w:w="7656" w:type="dxa"/>
            <w:tcBorders/>
          </w:tcPr>
          <w:p>
            <w:pPr>
              <w:pStyle w:val="Normal"/>
              <w:snapToGrid w:val="false"/>
              <w:rPr/>
            </w:pPr>
            <w:r>
              <w:rPr/>
            </w:r>
          </w:p>
        </w:tc>
      </w:tr>
      <w:tr>
        <w:trPr/>
        <w:tc>
          <w:tcPr>
            <w:tcW w:w="1440" w:type="dxa"/>
            <w:tcBorders/>
          </w:tcPr>
          <w:p>
            <w:pPr>
              <w:pStyle w:val="Normal"/>
              <w:rPr>
                <w:b/>
              </w:rPr>
            </w:pPr>
            <w:r>
              <w:rPr>
                <w:b/>
              </w:rPr>
              <w:t>TO:</w:t>
            </w:r>
          </w:p>
        </w:tc>
        <w:tc>
          <w:tcPr>
            <w:tcW w:w="7656" w:type="dxa"/>
            <w:tcBorders/>
          </w:tcPr>
          <w:p>
            <w:pPr>
              <w:pStyle w:val="Normal"/>
              <w:rPr/>
            </w:pPr>
            <w:bookmarkStart w:id="1" w:name="Distribution"/>
            <w:bookmarkEnd w:id="1"/>
            <w:r>
              <w:rPr/>
              <w:t>Jim Royer, Chairman</w:t>
            </w:r>
          </w:p>
          <w:p>
            <w:pPr>
              <w:pStyle w:val="Normal"/>
              <w:rPr/>
            </w:pPr>
            <w:r>
              <w:rPr/>
              <w:t>Board of Directors</w:t>
            </w:r>
          </w:p>
        </w:tc>
      </w:tr>
      <w:tr>
        <w:trPr/>
        <w:tc>
          <w:tcPr>
            <w:tcW w:w="1440" w:type="dxa"/>
            <w:tcBorders/>
          </w:tcPr>
          <w:p>
            <w:pPr>
              <w:pStyle w:val="Normal"/>
              <w:snapToGrid w:val="false"/>
              <w:rPr/>
            </w:pPr>
            <w:r>
              <w:rPr/>
            </w:r>
          </w:p>
        </w:tc>
        <w:tc>
          <w:tcPr>
            <w:tcW w:w="7656" w:type="dxa"/>
            <w:tcBorders/>
          </w:tcPr>
          <w:p>
            <w:pPr>
              <w:pStyle w:val="Normal"/>
              <w:snapToGrid w:val="false"/>
              <w:rPr/>
            </w:pPr>
            <w:r>
              <w:rPr/>
            </w:r>
          </w:p>
        </w:tc>
      </w:tr>
      <w:tr>
        <w:trPr/>
        <w:tc>
          <w:tcPr>
            <w:tcW w:w="1440" w:type="dxa"/>
            <w:tcBorders/>
          </w:tcPr>
          <w:p>
            <w:pPr>
              <w:pStyle w:val="Normal"/>
              <w:rPr>
                <w:b/>
              </w:rPr>
            </w:pPr>
            <w:r>
              <w:rPr>
                <w:b/>
              </w:rPr>
              <w:t>FROM:</w:t>
            </w:r>
          </w:p>
        </w:tc>
        <w:tc>
          <w:tcPr>
            <w:tcW w:w="7656" w:type="dxa"/>
            <w:tcBorders/>
          </w:tcPr>
          <w:p>
            <w:pPr>
              <w:pStyle w:val="Normal"/>
              <w:rPr/>
            </w:pPr>
            <w:bookmarkStart w:id="2" w:name="Source"/>
            <w:bookmarkEnd w:id="2"/>
            <w:r>
              <w:rPr/>
              <w:t>Charles Foster, Chairman</w:t>
            </w:r>
          </w:p>
          <w:p>
            <w:pPr>
              <w:pStyle w:val="Normal"/>
              <w:rPr/>
            </w:pPr>
            <w:r>
              <w:rPr/>
              <w:t>Economic Development Advisory Committee</w:t>
            </w:r>
          </w:p>
        </w:tc>
      </w:tr>
      <w:tr>
        <w:trPr/>
        <w:tc>
          <w:tcPr>
            <w:tcW w:w="1440" w:type="dxa"/>
            <w:tcBorders/>
          </w:tcPr>
          <w:p>
            <w:pPr>
              <w:pStyle w:val="Normal"/>
              <w:snapToGrid w:val="false"/>
              <w:rPr/>
            </w:pPr>
            <w:r>
              <w:rPr/>
            </w:r>
          </w:p>
        </w:tc>
        <w:tc>
          <w:tcPr>
            <w:tcW w:w="7656" w:type="dxa"/>
            <w:tcBorders/>
          </w:tcPr>
          <w:p>
            <w:pPr>
              <w:pStyle w:val="Normal"/>
              <w:snapToGrid w:val="false"/>
              <w:rPr/>
            </w:pPr>
            <w:r>
              <w:rPr/>
            </w:r>
          </w:p>
        </w:tc>
      </w:tr>
      <w:tr>
        <w:trPr/>
        <w:tc>
          <w:tcPr>
            <w:tcW w:w="1440" w:type="dxa"/>
            <w:tcBorders/>
          </w:tcPr>
          <w:p>
            <w:pPr>
              <w:pStyle w:val="Normal"/>
              <w:rPr>
                <w:b/>
              </w:rPr>
            </w:pPr>
            <w:r>
              <w:rPr>
                <w:b/>
              </w:rPr>
              <w:t>SUBJECT:</w:t>
            </w:r>
          </w:p>
        </w:tc>
        <w:tc>
          <w:tcPr>
            <w:tcW w:w="7656" w:type="dxa"/>
            <w:tcBorders/>
          </w:tcPr>
          <w:p>
            <w:pPr>
              <w:pStyle w:val="Normal"/>
              <w:rPr/>
            </w:pPr>
            <w:bookmarkStart w:id="3" w:name="Subject"/>
            <w:bookmarkEnd w:id="3"/>
            <w:r>
              <w:rPr/>
              <w:t>Resolution Supporting Tax Incentives for Large Projects</w:t>
            </w:r>
          </w:p>
        </w:tc>
      </w:tr>
    </w:tbl>
    <w:p>
      <w:pPr>
        <w:pStyle w:val="Normal"/>
        <w:pBdr>
          <w:bottom w:val="single" w:sz="6" w:space="1" w:color="000000"/>
        </w:pBdr>
        <w:tabs>
          <w:tab w:val="clear" w:pos="720"/>
          <w:tab w:val="left" w:pos="1440" w:leader="none"/>
        </w:tabs>
        <w:jc w:val="both"/>
        <w:rPr/>
      </w:pPr>
      <w:r>
        <w:rPr/>
      </w:r>
    </w:p>
    <w:p>
      <w:pPr>
        <w:pStyle w:val="Heading2"/>
        <w:ind w:hanging="0" w:start="0"/>
        <w:rPr/>
      </w:pPr>
      <w:r>
        <w:rPr/>
      </w:r>
    </w:p>
    <w:p>
      <w:pPr>
        <w:pStyle w:val="Heading2"/>
        <w:ind w:hanging="0" w:start="0"/>
        <w:rPr>
          <w:u w:val="none"/>
        </w:rPr>
      </w:pPr>
      <w:r>
        <w:rPr>
          <w:u w:val="none"/>
        </w:rPr>
        <w:t>RECOMMENDATION</w:t>
      </w:r>
    </w:p>
    <w:p>
      <w:pPr>
        <w:pStyle w:val="Normal"/>
        <w:rPr>
          <w:b/>
          <w:bCs/>
        </w:rPr>
      </w:pPr>
      <w:r>
        <w:rPr/>
        <w:t>The Greater Houston Partnership supports new tax incentives for mega-projects, new facilities or expansions valued at more than $100 million, that are expected to create at least 300 jobs.  School districts would be allowed to cap the property-tax valuation of a new investment at $100 million for 10 years.</w:t>
      </w:r>
    </w:p>
    <w:p>
      <w:pPr>
        <w:pStyle w:val="Normal"/>
        <w:ind w:start="360" w:end="0"/>
        <w:rPr>
          <w:b/>
          <w:bCs/>
        </w:rPr>
      </w:pPr>
      <w:r>
        <w:rPr>
          <w:b/>
        </w:rPr>
        <w:t xml:space="preserve"> </w:t>
      </w:r>
    </w:p>
    <w:p>
      <w:pPr>
        <w:pStyle w:val="Heading2"/>
        <w:ind w:hanging="0" w:start="0"/>
        <w:rPr>
          <w:u w:val="none"/>
        </w:rPr>
      </w:pPr>
      <w:r>
        <w:rPr>
          <w:u w:val="none"/>
        </w:rPr>
        <w:t>BACKGROUND</w:t>
      </w:r>
    </w:p>
    <w:p>
      <w:pPr>
        <w:pStyle w:val="Normal"/>
        <w:rPr/>
      </w:pPr>
      <w:r>
        <w:rPr/>
        <w:t xml:space="preserve">Texas’ tax structure is heavily dependent on property taxes, making it more expensive than many other states for capital-intensive projects.  School districts generally account for about 50% of a business’ property tax bill, and do not grant tax abatements.   Providing an incentive for large projects that generate high-wage jobs will improve our ability to compete for these lucrative new facilities and expansions.  In light of the large investments that will be required by many facilities to meet Clean Air requirements, it becomes even more important to encourage significant investment in Texas.  </w:t>
      </w:r>
    </w:p>
    <w:p>
      <w:pPr>
        <w:pStyle w:val="Normal"/>
        <w:rPr/>
      </w:pPr>
      <w:r>
        <w:rPr/>
      </w:r>
    </w:p>
    <w:p>
      <w:pPr>
        <w:pStyle w:val="BodyText"/>
        <w:rPr/>
      </w:pPr>
      <w:r>
        <w:rPr/>
        <w:t xml:space="preserve">Rep. Kim Brimer is expected to sponsor this bill in the upcoming Texas Legislative session. </w:t>
      </w:r>
    </w:p>
    <w:p>
      <w:pPr>
        <w:pStyle w:val="BodyText"/>
        <w:rPr/>
      </w:pPr>
      <w:r>
        <w:rPr/>
      </w:r>
    </w:p>
    <w:p>
      <w:pPr>
        <w:pStyle w:val="BodyText"/>
        <w:rPr>
          <w:b/>
          <w:bCs/>
        </w:rPr>
      </w:pPr>
      <w:r>
        <w:rPr>
          <w:b/>
          <w:bCs/>
        </w:rPr>
        <w:t>IMPLEMENTATION</w:t>
      </w:r>
    </w:p>
    <w:p>
      <w:pPr>
        <w:pStyle w:val="Normal"/>
        <w:rPr/>
      </w:pPr>
      <w:r>
        <w:rPr/>
        <w:t>Communicate and advocate this position statement to the State Legislature.</w:t>
      </w:r>
    </w:p>
    <w:p>
      <w:pPr>
        <w:pStyle w:val="Normal"/>
        <w:rPr/>
      </w:pPr>
      <w:r>
        <w:rPr/>
      </w:r>
    </w:p>
    <w:p>
      <w:pPr>
        <w:pStyle w:val="Heading2"/>
        <w:overflowPunct w:val="false"/>
        <w:autoSpaceDE w:val="false"/>
        <w:ind w:hanging="0" w:start="0"/>
        <w:textAlignment w:val="baseline"/>
        <w:rPr>
          <w:bCs/>
        </w:rPr>
      </w:pPr>
      <w:r>
        <w:rPr>
          <w:bCs/>
          <w:u w:val="none"/>
        </w:rPr>
        <w:t>RESOURCES REQUIRED</w:t>
      </w:r>
    </w:p>
    <w:p>
      <w:pPr>
        <w:pStyle w:val="Normal"/>
        <w:rPr/>
      </w:pPr>
      <w:r>
        <w:rPr/>
        <w:t>This position can be implemented within current budgetary constraints.</w:t>
      </w:r>
      <w:r>
        <w:br w:type="page"/>
      </w:r>
    </w:p>
    <w:p>
      <w:pPr>
        <w:pStyle w:val="Normal"/>
        <w:pBdr>
          <w:top w:val="single" w:sz="6" w:space="12" w:color="000000"/>
          <w:bottom w:val="single" w:sz="6" w:space="12" w:color="000000"/>
        </w:pBdr>
        <w:tabs>
          <w:tab w:val="clear" w:pos="720"/>
          <w:tab w:val="right" w:pos="8910" w:leader="none"/>
        </w:tabs>
        <w:rPr>
          <w:b/>
          <w:sz w:val="28"/>
        </w:rPr>
      </w:pPr>
      <w:r>
        <w:rPr>
          <w:b/>
          <w:sz w:val="28"/>
        </w:rPr>
        <w:t>Greater Houston Partnership</w:t>
        <w:tab/>
        <w:t>December 5, 2000</w:t>
      </w:r>
    </w:p>
    <w:p>
      <w:pPr>
        <w:pStyle w:val="Normal"/>
        <w:rPr>
          <w:b/>
          <w:sz w:val="28"/>
        </w:rPr>
      </w:pPr>
      <w:r>
        <w:rPr>
          <w:b/>
          <w:sz w:val="28"/>
        </w:rPr>
      </w:r>
    </w:p>
    <w:p>
      <w:pPr>
        <w:pStyle w:val="Normal"/>
        <w:jc w:val="center"/>
        <w:rPr>
          <w:b/>
          <w:sz w:val="28"/>
        </w:rPr>
      </w:pPr>
      <w:r>
        <w:rPr>
          <w:b/>
          <w:sz w:val="28"/>
        </w:rPr>
        <w:t>Resolution of the Board of Directors</w:t>
      </w:r>
    </w:p>
    <w:p>
      <w:pPr>
        <w:pStyle w:val="Normal"/>
        <w:jc w:val="center"/>
        <w:rPr>
          <w:b/>
          <w:sz w:val="28"/>
        </w:rPr>
      </w:pPr>
      <w:r>
        <w:rPr>
          <w:b/>
          <w:sz w:val="28"/>
        </w:rPr>
        <w:t>In Support of Statewide Implementation of 2-1-1</w:t>
      </w:r>
    </w:p>
    <w:p>
      <w:pPr>
        <w:pStyle w:val="Normal"/>
        <w:pBdr>
          <w:bottom w:val="single" w:sz="6" w:space="1" w:color="000000"/>
        </w:pBdr>
        <w:jc w:val="center"/>
        <w:rPr>
          <w:b/>
          <w:sz w:val="28"/>
        </w:rPr>
      </w:pPr>
      <w:r>
        <w:rPr>
          <w:b/>
          <w:sz w:val="28"/>
        </w:rPr>
      </w:r>
    </w:p>
    <w:p>
      <w:pPr>
        <w:pStyle w:val="Normal"/>
        <w:rPr/>
      </w:pPr>
      <w:r>
        <w:rPr/>
      </w:r>
    </w:p>
    <w:p>
      <w:pPr>
        <w:pStyle w:val="Normal"/>
        <w:rPr/>
      </w:pPr>
      <w:r>
        <w:rPr/>
        <w:t xml:space="preserve">The Greater Houston Partnership supports local, state and federal funding, and legislation designating and implementing 2-1-1 as the universal dialing code for use by the public to access free information and referral to agencies and organizations providing community health and human services. </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tbl>
      <w:tblPr>
        <w:tblW w:w="9302" w:type="dxa"/>
        <w:jc w:val="start"/>
        <w:tblInd w:w="0" w:type="dxa"/>
        <w:tblLayout w:type="fixed"/>
        <w:tblCellMar>
          <w:top w:w="0" w:type="dxa"/>
          <w:start w:w="108" w:type="dxa"/>
          <w:bottom w:w="0" w:type="dxa"/>
          <w:end w:w="108" w:type="dxa"/>
        </w:tblCellMar>
      </w:tblPr>
      <w:tblGrid>
        <w:gridCol w:w="4334"/>
        <w:gridCol w:w="648"/>
        <w:gridCol w:w="4320"/>
      </w:tblGrid>
      <w:tr>
        <w:trPr/>
        <w:tc>
          <w:tcPr>
            <w:tcW w:w="4334" w:type="dxa"/>
            <w:tcBorders>
              <w:bottom w:val="single" w:sz="6" w:space="0" w:color="000000"/>
            </w:tcBorders>
          </w:tcPr>
          <w:p>
            <w:pPr>
              <w:pStyle w:val="Normal"/>
              <w:snapToGrid w:val="false"/>
              <w:rPr/>
            </w:pPr>
            <w:r>
              <w:rPr/>
            </w:r>
          </w:p>
        </w:tc>
        <w:tc>
          <w:tcPr>
            <w:tcW w:w="648" w:type="dxa"/>
            <w:tcBorders/>
          </w:tcPr>
          <w:p>
            <w:pPr>
              <w:pStyle w:val="Normal"/>
              <w:snapToGrid w:val="false"/>
              <w:rPr/>
            </w:pPr>
            <w:r>
              <w:rPr/>
            </w:r>
          </w:p>
        </w:tc>
        <w:tc>
          <w:tcPr>
            <w:tcW w:w="4320" w:type="dxa"/>
            <w:tcBorders>
              <w:bottom w:val="single" w:sz="6" w:space="0" w:color="000000"/>
            </w:tcBorders>
          </w:tcPr>
          <w:p>
            <w:pPr>
              <w:pStyle w:val="Normal"/>
              <w:snapToGrid w:val="false"/>
              <w:rPr/>
            </w:pPr>
            <w:r>
              <w:rPr/>
            </w:r>
          </w:p>
        </w:tc>
      </w:tr>
      <w:tr>
        <w:trPr/>
        <w:tc>
          <w:tcPr>
            <w:tcW w:w="4334" w:type="dxa"/>
            <w:tcBorders/>
          </w:tcPr>
          <w:p>
            <w:pPr>
              <w:pStyle w:val="Normal"/>
              <w:rPr/>
            </w:pPr>
            <w:r>
              <w:rPr/>
              <w:t>James R. Royer, Chairman</w:t>
            </w:r>
          </w:p>
        </w:tc>
        <w:tc>
          <w:tcPr>
            <w:tcW w:w="648" w:type="dxa"/>
            <w:tcBorders/>
          </w:tcPr>
          <w:p>
            <w:pPr>
              <w:pStyle w:val="Normal"/>
              <w:snapToGrid w:val="false"/>
              <w:rPr/>
            </w:pPr>
            <w:r>
              <w:rPr/>
            </w:r>
          </w:p>
        </w:tc>
        <w:tc>
          <w:tcPr>
            <w:tcW w:w="4320" w:type="dxa"/>
            <w:tcBorders/>
          </w:tcPr>
          <w:p>
            <w:pPr>
              <w:pStyle w:val="Normal"/>
              <w:rPr/>
            </w:pPr>
            <w:r>
              <w:rPr/>
              <w:t>Jim C. Kollaer, President &amp; CEO</w:t>
            </w:r>
          </w:p>
        </w:tc>
      </w:tr>
    </w:tbl>
    <w:p>
      <w:pPr>
        <w:pStyle w:val="Normal"/>
        <w:rPr/>
      </w:pPr>
      <w:r>
        <w:rPr/>
      </w:r>
    </w:p>
    <w:p>
      <w:pPr>
        <w:pStyle w:val="Normal"/>
        <w:rPr/>
      </w:pPr>
      <w:r>
        <w:rPr/>
      </w:r>
    </w:p>
    <w:tbl>
      <w:tblPr>
        <w:tblW w:w="9302" w:type="dxa"/>
        <w:jc w:val="start"/>
        <w:tblInd w:w="0" w:type="dxa"/>
        <w:tblLayout w:type="fixed"/>
        <w:tblCellMar>
          <w:top w:w="0" w:type="dxa"/>
          <w:start w:w="108" w:type="dxa"/>
          <w:bottom w:w="0" w:type="dxa"/>
          <w:end w:w="108" w:type="dxa"/>
        </w:tblCellMar>
      </w:tblPr>
      <w:tblGrid>
        <w:gridCol w:w="4334"/>
        <w:gridCol w:w="648"/>
        <w:gridCol w:w="4320"/>
      </w:tblGrid>
      <w:tr>
        <w:trPr/>
        <w:tc>
          <w:tcPr>
            <w:tcW w:w="4334" w:type="dxa"/>
            <w:tcBorders>
              <w:bottom w:val="single" w:sz="6" w:space="0" w:color="000000"/>
            </w:tcBorders>
          </w:tcPr>
          <w:p>
            <w:pPr>
              <w:pStyle w:val="Normal"/>
              <w:snapToGrid w:val="false"/>
              <w:rPr/>
            </w:pPr>
            <w:r>
              <w:rPr/>
            </w:r>
          </w:p>
        </w:tc>
        <w:tc>
          <w:tcPr>
            <w:tcW w:w="648" w:type="dxa"/>
            <w:tcBorders/>
          </w:tcPr>
          <w:p>
            <w:pPr>
              <w:pStyle w:val="Normal"/>
              <w:snapToGrid w:val="false"/>
              <w:rPr/>
            </w:pPr>
            <w:r>
              <w:rPr/>
            </w:r>
          </w:p>
        </w:tc>
        <w:tc>
          <w:tcPr>
            <w:tcW w:w="4320" w:type="dxa"/>
            <w:tcBorders/>
          </w:tcPr>
          <w:p>
            <w:pPr>
              <w:pStyle w:val="Normal"/>
              <w:snapToGrid w:val="false"/>
              <w:rPr/>
            </w:pPr>
            <w:r>
              <w:rPr/>
            </w:r>
          </w:p>
        </w:tc>
      </w:tr>
      <w:tr>
        <w:trPr/>
        <w:tc>
          <w:tcPr>
            <w:tcW w:w="4334" w:type="dxa"/>
            <w:tcBorders/>
          </w:tcPr>
          <w:p>
            <w:pPr>
              <w:pStyle w:val="Normal"/>
              <w:rPr/>
            </w:pPr>
            <w:r>
              <w:rPr/>
              <w:t>R. Bruce LaBoon, Secretary</w:t>
            </w:r>
          </w:p>
        </w:tc>
        <w:tc>
          <w:tcPr>
            <w:tcW w:w="648" w:type="dxa"/>
            <w:tcBorders/>
          </w:tcPr>
          <w:p>
            <w:pPr>
              <w:pStyle w:val="Normal"/>
              <w:snapToGrid w:val="false"/>
              <w:rPr/>
            </w:pPr>
            <w:r>
              <w:rPr/>
            </w:r>
          </w:p>
        </w:tc>
        <w:tc>
          <w:tcPr>
            <w:tcW w:w="4320" w:type="dxa"/>
            <w:tcBorders/>
          </w:tcPr>
          <w:p>
            <w:pPr>
              <w:pStyle w:val="Normal"/>
              <w:snapToGrid w:val="false"/>
              <w:rPr/>
            </w:pPr>
            <w:r>
              <w:rPr/>
            </w:r>
          </w:p>
        </w:tc>
      </w:tr>
    </w:tbl>
    <w:p>
      <w:pPr>
        <w:sectPr>
          <w:footerReference w:type="default" r:id="rId3"/>
          <w:footerReference w:type="first" r:id="rId4"/>
          <w:type w:val="nextPage"/>
          <w:pgSz w:w="12240" w:h="15840"/>
          <w:pgMar w:left="1680" w:right="1680" w:gutter="0" w:header="0" w:top="1440" w:footer="960" w:bottom="1440"/>
          <w:pgNumType w:fmt="decimal"/>
          <w:formProt w:val="false"/>
          <w:textDirection w:val="lrTb"/>
          <w:docGrid w:type="default" w:linePitch="360" w:charSpace="0"/>
        </w:sectPr>
        <w:pStyle w:val="Normal"/>
        <w:rPr/>
      </w:pPr>
      <w:r>
        <w:rPr/>
      </w:r>
    </w:p>
    <w:p>
      <w:pPr>
        <w:pStyle w:val="Normal"/>
        <w:spacing w:before="480" w:after="240"/>
        <w:rPr/>
      </w:pPr>
      <w:r>
        <w:rPr/>
        <w:t>MEMORANDUM</w:t>
      </w:r>
    </w:p>
    <w:tbl>
      <w:tblPr>
        <w:tblW w:w="9096" w:type="dxa"/>
        <w:jc w:val="start"/>
        <w:tblInd w:w="0" w:type="dxa"/>
        <w:tblLayout w:type="fixed"/>
        <w:tblCellMar>
          <w:top w:w="0" w:type="dxa"/>
          <w:start w:w="108" w:type="dxa"/>
          <w:bottom w:w="0" w:type="dxa"/>
          <w:end w:w="108" w:type="dxa"/>
        </w:tblCellMar>
      </w:tblPr>
      <w:tblGrid>
        <w:gridCol w:w="1440"/>
        <w:gridCol w:w="7656"/>
      </w:tblGrid>
      <w:tr>
        <w:trPr/>
        <w:tc>
          <w:tcPr>
            <w:tcW w:w="1440" w:type="dxa"/>
            <w:tcBorders/>
          </w:tcPr>
          <w:p>
            <w:pPr>
              <w:pStyle w:val="Normal"/>
              <w:rPr>
                <w:b/>
              </w:rPr>
            </w:pPr>
            <w:r>
              <w:rPr>
                <w:b/>
              </w:rPr>
              <w:t>DATE:</w:t>
            </w:r>
          </w:p>
        </w:tc>
        <w:tc>
          <w:tcPr>
            <w:tcW w:w="7656" w:type="dxa"/>
            <w:tcBorders/>
          </w:tcPr>
          <w:p>
            <w:pPr>
              <w:pStyle w:val="Normal"/>
              <w:rPr/>
            </w:pPr>
            <w:r>
              <w:rPr/>
              <w:t>December 5, 2000</w:t>
            </w:r>
          </w:p>
        </w:tc>
      </w:tr>
      <w:tr>
        <w:trPr/>
        <w:tc>
          <w:tcPr>
            <w:tcW w:w="1440" w:type="dxa"/>
            <w:tcBorders/>
          </w:tcPr>
          <w:p>
            <w:pPr>
              <w:pStyle w:val="Normal"/>
              <w:snapToGrid w:val="false"/>
              <w:rPr/>
            </w:pPr>
            <w:r>
              <w:rPr/>
            </w:r>
          </w:p>
        </w:tc>
        <w:tc>
          <w:tcPr>
            <w:tcW w:w="7656" w:type="dxa"/>
            <w:tcBorders/>
          </w:tcPr>
          <w:p>
            <w:pPr>
              <w:pStyle w:val="Normal"/>
              <w:snapToGrid w:val="false"/>
              <w:rPr/>
            </w:pPr>
            <w:r>
              <w:rPr/>
            </w:r>
          </w:p>
        </w:tc>
      </w:tr>
      <w:tr>
        <w:trPr/>
        <w:tc>
          <w:tcPr>
            <w:tcW w:w="1440" w:type="dxa"/>
            <w:tcBorders/>
          </w:tcPr>
          <w:p>
            <w:pPr>
              <w:pStyle w:val="Normal"/>
              <w:rPr>
                <w:b/>
              </w:rPr>
            </w:pPr>
            <w:r>
              <w:rPr>
                <w:b/>
              </w:rPr>
              <w:t>TO:</w:t>
            </w:r>
          </w:p>
        </w:tc>
        <w:tc>
          <w:tcPr>
            <w:tcW w:w="7656" w:type="dxa"/>
            <w:tcBorders/>
          </w:tcPr>
          <w:p>
            <w:pPr>
              <w:pStyle w:val="Normal"/>
              <w:rPr/>
            </w:pPr>
            <w:r>
              <w:rPr/>
              <w:t>Board of Directors</w:t>
            </w:r>
          </w:p>
        </w:tc>
      </w:tr>
      <w:tr>
        <w:trPr/>
        <w:tc>
          <w:tcPr>
            <w:tcW w:w="1440" w:type="dxa"/>
            <w:tcBorders/>
          </w:tcPr>
          <w:p>
            <w:pPr>
              <w:pStyle w:val="Normal"/>
              <w:snapToGrid w:val="false"/>
              <w:rPr/>
            </w:pPr>
            <w:r>
              <w:rPr/>
            </w:r>
          </w:p>
        </w:tc>
        <w:tc>
          <w:tcPr>
            <w:tcW w:w="7656" w:type="dxa"/>
            <w:tcBorders/>
          </w:tcPr>
          <w:p>
            <w:pPr>
              <w:pStyle w:val="Normal"/>
              <w:snapToGrid w:val="false"/>
              <w:rPr/>
            </w:pPr>
            <w:r>
              <w:rPr/>
            </w:r>
          </w:p>
        </w:tc>
      </w:tr>
      <w:tr>
        <w:trPr/>
        <w:tc>
          <w:tcPr>
            <w:tcW w:w="1440" w:type="dxa"/>
            <w:tcBorders/>
          </w:tcPr>
          <w:p>
            <w:pPr>
              <w:pStyle w:val="Normal"/>
              <w:rPr>
                <w:b/>
              </w:rPr>
            </w:pPr>
            <w:r>
              <w:rPr>
                <w:b/>
              </w:rPr>
              <w:t>FROM:</w:t>
            </w:r>
          </w:p>
        </w:tc>
        <w:tc>
          <w:tcPr>
            <w:tcW w:w="7656" w:type="dxa"/>
            <w:tcBorders/>
          </w:tcPr>
          <w:p>
            <w:pPr>
              <w:pStyle w:val="Normal"/>
              <w:rPr/>
            </w:pPr>
            <w:r>
              <w:rPr/>
              <w:t>Charles McMahen, Chairman</w:t>
            </w:r>
          </w:p>
          <w:p>
            <w:pPr>
              <w:pStyle w:val="Normal"/>
              <w:rPr/>
            </w:pPr>
            <w:r>
              <w:rPr/>
              <w:t>Business Issues Advisory Committee</w:t>
            </w:r>
          </w:p>
        </w:tc>
      </w:tr>
      <w:tr>
        <w:trPr/>
        <w:tc>
          <w:tcPr>
            <w:tcW w:w="1440" w:type="dxa"/>
            <w:tcBorders/>
          </w:tcPr>
          <w:p>
            <w:pPr>
              <w:pStyle w:val="Normal"/>
              <w:snapToGrid w:val="false"/>
              <w:rPr/>
            </w:pPr>
            <w:r>
              <w:rPr/>
            </w:r>
          </w:p>
        </w:tc>
        <w:tc>
          <w:tcPr>
            <w:tcW w:w="7656" w:type="dxa"/>
            <w:tcBorders/>
          </w:tcPr>
          <w:p>
            <w:pPr>
              <w:pStyle w:val="Normal"/>
              <w:snapToGrid w:val="false"/>
              <w:rPr/>
            </w:pPr>
            <w:r>
              <w:rPr/>
            </w:r>
          </w:p>
        </w:tc>
      </w:tr>
      <w:tr>
        <w:trPr/>
        <w:tc>
          <w:tcPr>
            <w:tcW w:w="1440" w:type="dxa"/>
            <w:tcBorders/>
          </w:tcPr>
          <w:p>
            <w:pPr>
              <w:pStyle w:val="Normal"/>
              <w:rPr>
                <w:b/>
              </w:rPr>
            </w:pPr>
            <w:r>
              <w:rPr>
                <w:b/>
              </w:rPr>
              <w:t>SUBJECT:</w:t>
            </w:r>
          </w:p>
        </w:tc>
        <w:tc>
          <w:tcPr>
            <w:tcW w:w="7656" w:type="dxa"/>
            <w:tcBorders/>
          </w:tcPr>
          <w:p>
            <w:pPr>
              <w:pStyle w:val="Normal"/>
              <w:rPr/>
            </w:pPr>
            <w:r>
              <w:rPr/>
              <w:t>Resolution in Support of Statewide Implementation of 2-1-1</w:t>
            </w:r>
          </w:p>
        </w:tc>
      </w:tr>
    </w:tbl>
    <w:p>
      <w:pPr>
        <w:pStyle w:val="Normal"/>
        <w:tabs>
          <w:tab w:val="clear" w:pos="720"/>
          <w:tab w:val="left" w:pos="1440" w:leader="none"/>
        </w:tabs>
        <w:jc w:val="both"/>
        <w:rPr/>
      </w:pPr>
      <w:r>
        <w:rPr/>
      </w:r>
    </w:p>
    <w:p>
      <w:pPr>
        <w:pStyle w:val="Normal"/>
        <w:pBdr>
          <w:bottom w:val="single" w:sz="6" w:space="1" w:color="000000"/>
        </w:pBdr>
        <w:tabs>
          <w:tab w:val="clear" w:pos="720"/>
          <w:tab w:val="left" w:pos="1440" w:leader="none"/>
        </w:tabs>
        <w:jc w:val="both"/>
        <w:rPr/>
      </w:pPr>
      <w:r>
        <w:rPr/>
      </w:r>
    </w:p>
    <w:p>
      <w:pPr>
        <w:pStyle w:val="Normal"/>
        <w:tabs>
          <w:tab w:val="clear" w:pos="720"/>
          <w:tab w:val="left" w:pos="1440" w:leader="none"/>
        </w:tabs>
        <w:jc w:val="both"/>
        <w:rPr/>
      </w:pPr>
      <w:r>
        <w:rPr/>
      </w:r>
    </w:p>
    <w:p>
      <w:pPr>
        <w:pStyle w:val="Heading1"/>
        <w:ind w:hanging="0" w:start="0"/>
        <w:jc w:val="start"/>
        <w:rPr>
          <w:sz w:val="24"/>
        </w:rPr>
      </w:pPr>
      <w:r>
        <w:rPr>
          <w:sz w:val="24"/>
        </w:rPr>
        <w:t>RECOMMENDATION</w:t>
      </w:r>
    </w:p>
    <w:p>
      <w:pPr>
        <w:pStyle w:val="Normal"/>
        <w:rPr>
          <w:sz w:val="24"/>
        </w:rPr>
      </w:pPr>
      <w:r>
        <w:rPr>
          <w:sz w:val="24"/>
        </w:rPr>
      </w:r>
    </w:p>
    <w:p>
      <w:pPr>
        <w:pStyle w:val="Normal"/>
        <w:rPr/>
      </w:pPr>
      <w:r>
        <w:rPr/>
        <w:t>Support local, state and federal funding, and legislation designating and implementing 2-1-1 as the universal dialing code for use by the public to access free information and referral to agencies and organizations providing community health and human services.</w:t>
      </w:r>
      <w:r>
        <w:rPr>
          <w:rFonts w:cs="Courier New" w:ascii="Courier New" w:hAnsi="Courier New"/>
          <w:sz w:val="20"/>
        </w:rPr>
        <w:t xml:space="preserve"> </w:t>
      </w:r>
    </w:p>
    <w:p>
      <w:pPr>
        <w:pStyle w:val="Header"/>
        <w:tabs>
          <w:tab w:val="clear" w:pos="4320"/>
          <w:tab w:val="clear" w:pos="8640"/>
        </w:tabs>
        <w:rPr>
          <w:rFonts w:ascii="Courier New" w:hAnsi="Courier New" w:cs="Courier New"/>
          <w:sz w:val="20"/>
        </w:rPr>
      </w:pPr>
      <w:r>
        <w:rPr>
          <w:rFonts w:cs="Courier New" w:ascii="Courier New" w:hAnsi="Courier New"/>
          <w:sz w:val="20"/>
        </w:rPr>
      </w:r>
    </w:p>
    <w:p>
      <w:pPr>
        <w:pStyle w:val="Heading1"/>
        <w:ind w:hanging="0" w:start="0"/>
        <w:jc w:val="start"/>
        <w:rPr>
          <w:sz w:val="24"/>
        </w:rPr>
      </w:pPr>
      <w:r>
        <w:rPr>
          <w:sz w:val="24"/>
        </w:rPr>
        <w:t>BACKGROUND</w:t>
      </w:r>
    </w:p>
    <w:p>
      <w:pPr>
        <w:pStyle w:val="Normal"/>
        <w:rPr/>
      </w:pPr>
      <w:r>
        <w:rPr/>
      </w:r>
    </w:p>
    <w:p>
      <w:pPr>
        <w:pStyle w:val="Normal"/>
        <w:rPr/>
      </w:pPr>
      <w:r>
        <w:rPr/>
        <w:t>2-1-1 is an easy to remember and universally recognized number that makes a critical connection between individuals and families in need and community-based organizations and government agencies.  Nationally, 2-1-1 has been designated by the Federal Communications Commission to be used for community-based information and referral to health and human services.  A National 2-1-1 Collaborative, including members from the United Way of America, the Texas Information and Referral Network, and the National Alliance of Information and Referral Systems (AIRS) is spearheading the efforts to implement 2-1-1 nationwide.  The Texas I&amp;R Network has developed a comprehensive plan for providing information and referral in conjunction with 25 Area Information Centers in Texas.  These centers are existing comprehensive I&amp;R organizations that include United Way Helplines, Area Agencies on Aging, Community Councils and independent non-profit organizations.</w:t>
      </w:r>
    </w:p>
    <w:p>
      <w:pPr>
        <w:pStyle w:val="Normal"/>
        <w:rPr/>
      </w:pPr>
      <w:r>
        <w:rPr/>
      </w:r>
    </w:p>
    <w:p>
      <w:pPr>
        <w:pStyle w:val="Normal"/>
        <w:rPr/>
      </w:pPr>
      <w:r>
        <w:rPr/>
        <w:t xml:space="preserve">The Texas Public Utility Commission has placed a priority on approving the designation of 2-1-1 to the Texas I&amp;R Network.  The designation and approved funding during the next legislative session would allow the Texas I&amp;R Network to begin implementation in January 2002.  </w:t>
      </w:r>
      <w:r>
        <w:rPr>
          <w:b/>
          <w:bCs/>
        </w:rPr>
        <w:t>2-1-1 Texas will not be funded by individual surcharges on telephone bills.</w:t>
      </w:r>
      <w:r>
        <w:rPr/>
        <w:t xml:space="preserve">  Instead, the 2-1-1 Texas public-private partnership includes private donations and requested funds from the Texas Legislature.  The budget moving forward from the Health and Human Services Commission contains a line item request for $7.2 million.  </w:t>
      </w:r>
    </w:p>
    <w:p>
      <w:pPr>
        <w:pStyle w:val="Normal"/>
        <w:rPr/>
      </w:pPr>
      <w:r>
        <w:rPr/>
      </w:r>
    </w:p>
    <w:p>
      <w:pPr>
        <w:pStyle w:val="Normal"/>
        <w:rPr/>
      </w:pPr>
      <w:r>
        <w:rPr/>
      </w:r>
    </w:p>
    <w:p>
      <w:pPr>
        <w:pStyle w:val="Header"/>
        <w:tabs>
          <w:tab w:val="clear" w:pos="4320"/>
          <w:tab w:val="clear" w:pos="8640"/>
        </w:tabs>
        <w:rPr/>
      </w:pPr>
      <w:r>
        <w:rPr/>
      </w:r>
    </w:p>
    <w:p>
      <w:pPr>
        <w:pStyle w:val="Heading1"/>
        <w:ind w:hanging="0" w:start="0"/>
        <w:jc w:val="start"/>
        <w:rPr>
          <w:sz w:val="24"/>
        </w:rPr>
      </w:pPr>
      <w:r>
        <w:rPr>
          <w:sz w:val="24"/>
        </w:rPr>
        <w:t>IMPLEMENTATION</w:t>
      </w:r>
    </w:p>
    <w:p>
      <w:pPr>
        <w:pStyle w:val="Normal"/>
        <w:rPr/>
      </w:pPr>
      <w:r>
        <w:rPr/>
      </w:r>
    </w:p>
    <w:p>
      <w:pPr>
        <w:pStyle w:val="Normal"/>
        <w:rPr/>
      </w:pPr>
      <w:r>
        <w:rPr/>
        <w:t>Communicate this position to members of the area legislative delegation and appropriate legislative leaders.  Include the position in summaries of the Partnership’s legislative program for the 77</w:t>
      </w:r>
      <w:r>
        <w:rPr>
          <w:vertAlign w:val="superscript"/>
        </w:rPr>
        <w:t>th</w:t>
      </w:r>
      <w:r>
        <w:rPr/>
        <w:t xml:space="preserve"> Legislative Session.</w:t>
      </w:r>
    </w:p>
    <w:p>
      <w:pPr>
        <w:pStyle w:val="Normal"/>
        <w:rPr/>
      </w:pPr>
      <w:r>
        <w:rPr/>
      </w:r>
    </w:p>
    <w:p>
      <w:pPr>
        <w:pStyle w:val="Normal"/>
        <w:rPr/>
      </w:pPr>
      <w:r>
        <w:rPr/>
        <w:t>Review proposed legislation on these issues during the legislative session.</w:t>
      </w:r>
    </w:p>
    <w:p>
      <w:pPr>
        <w:pStyle w:val="Normal"/>
        <w:rPr/>
      </w:pPr>
      <w:r>
        <w:rPr/>
      </w:r>
    </w:p>
    <w:p>
      <w:pPr>
        <w:pStyle w:val="Heading1"/>
        <w:ind w:hanging="0" w:start="0"/>
        <w:jc w:val="start"/>
        <w:rPr>
          <w:sz w:val="24"/>
        </w:rPr>
      </w:pPr>
      <w:r>
        <w:rPr>
          <w:sz w:val="24"/>
        </w:rPr>
        <w:t>RESOURCES REQUIRED</w:t>
      </w:r>
    </w:p>
    <w:p>
      <w:pPr>
        <w:pStyle w:val="Normal"/>
        <w:rPr/>
      </w:pPr>
      <w:r>
        <w:rPr/>
      </w:r>
    </w:p>
    <w:p>
      <w:pPr>
        <w:pStyle w:val="Normal"/>
        <w:rPr/>
      </w:pPr>
      <w:r>
        <w:rPr/>
        <w:t>This recommendation can be implemented with available staff and within the current operating budget.</w:t>
      </w:r>
      <w:r>
        <w:br w:type="page"/>
      </w:r>
    </w:p>
    <w:p>
      <w:pPr>
        <w:pStyle w:val="Normal"/>
        <w:pBdr>
          <w:top w:val="single" w:sz="6" w:space="12" w:color="000000"/>
          <w:bottom w:val="single" w:sz="6" w:space="12" w:color="000000"/>
        </w:pBdr>
        <w:tabs>
          <w:tab w:val="clear" w:pos="720"/>
          <w:tab w:val="right" w:pos="8910" w:leader="none"/>
        </w:tabs>
        <w:rPr>
          <w:b/>
          <w:sz w:val="28"/>
        </w:rPr>
      </w:pPr>
      <w:r>
        <w:rPr>
          <w:b/>
          <w:sz w:val="28"/>
        </w:rPr>
        <w:t>Greater Houston Partnership</w:t>
        <w:tab/>
        <w:t>December 5, 2000</w:t>
      </w:r>
    </w:p>
    <w:p>
      <w:pPr>
        <w:pStyle w:val="Normal"/>
        <w:rPr>
          <w:b/>
          <w:sz w:val="28"/>
        </w:rPr>
      </w:pPr>
      <w:r>
        <w:rPr>
          <w:b/>
          <w:sz w:val="28"/>
        </w:rPr>
      </w:r>
    </w:p>
    <w:p>
      <w:pPr>
        <w:pStyle w:val="Normal"/>
        <w:jc w:val="center"/>
        <w:rPr>
          <w:b/>
          <w:sz w:val="28"/>
        </w:rPr>
      </w:pPr>
      <w:r>
        <w:rPr>
          <w:b/>
          <w:sz w:val="28"/>
        </w:rPr>
        <w:t>Resolution of the Board of Directors</w:t>
      </w:r>
    </w:p>
    <w:p>
      <w:pPr>
        <w:pStyle w:val="Normal"/>
        <w:jc w:val="center"/>
        <w:rPr/>
      </w:pPr>
      <w:r>
        <w:rPr>
          <w:b/>
          <w:sz w:val="28"/>
        </w:rPr>
        <w:t>Amending the Clean Air Legislative Agenda for the 77</w:t>
      </w:r>
      <w:r>
        <w:rPr>
          <w:b/>
          <w:sz w:val="28"/>
          <w:vertAlign w:val="superscript"/>
        </w:rPr>
        <w:t>th</w:t>
      </w:r>
      <w:r>
        <w:rPr>
          <w:b/>
          <w:sz w:val="28"/>
        </w:rPr>
        <w:t xml:space="preserve"> Legislature</w:t>
      </w:r>
    </w:p>
    <w:p>
      <w:pPr>
        <w:pStyle w:val="Normal"/>
        <w:pBdr>
          <w:bottom w:val="single" w:sz="6" w:space="1" w:color="000000"/>
        </w:pBdr>
        <w:jc w:val="center"/>
        <w:rPr>
          <w:b/>
          <w:sz w:val="28"/>
        </w:rPr>
      </w:pPr>
      <w:r>
        <w:rPr>
          <w:b/>
          <w:sz w:val="28"/>
        </w:rPr>
      </w:r>
    </w:p>
    <w:p>
      <w:pPr>
        <w:pStyle w:val="Normal"/>
        <w:rPr/>
      </w:pPr>
      <w:r>
        <w:rPr/>
      </w:r>
    </w:p>
    <w:p>
      <w:pPr>
        <w:pStyle w:val="Normal"/>
        <w:rPr/>
      </w:pPr>
      <w:r>
        <w:rPr/>
      </w:r>
    </w:p>
    <w:p>
      <w:pPr>
        <w:pStyle w:val="Normal"/>
        <w:rPr/>
      </w:pPr>
      <w:r>
        <w:rPr/>
        <w:t>The Greater Houston Partnership’s Board of Directors amends its resolution of October 3, 2000, “Clean Air Legislative Agenda for the 77</w:t>
      </w:r>
      <w:r>
        <w:rPr>
          <w:vertAlign w:val="superscript"/>
        </w:rPr>
        <w:t>th</w:t>
      </w:r>
      <w:r>
        <w:rPr/>
        <w:t xml:space="preserve"> Legislature” to reflect the following language regarding a later start date for public schools:</w:t>
      </w:r>
    </w:p>
    <w:p>
      <w:pPr>
        <w:pStyle w:val="Normal"/>
        <w:rPr/>
      </w:pPr>
      <w:r>
        <w:rPr/>
      </w:r>
    </w:p>
    <w:p>
      <w:pPr>
        <w:pStyle w:val="Normal"/>
        <w:rPr/>
      </w:pPr>
      <w:r>
        <w:rPr/>
      </w:r>
    </w:p>
    <w:p>
      <w:pPr>
        <w:pStyle w:val="BodyText3"/>
        <w:spacing w:before="0" w:after="0"/>
        <w:jc w:val="both"/>
        <w:rPr/>
      </w:pPr>
      <w:r>
        <w:rPr>
          <w:rFonts w:cs="Times New Roman" w:ascii="Times New Roman" w:hAnsi="Times New Roman"/>
          <w:b/>
          <w:iCs/>
        </w:rPr>
        <w:t>VII.</w:t>
        <w:tab/>
      </w:r>
      <w:r>
        <w:rPr>
          <w:rFonts w:cs="Times New Roman" w:ascii="Times New Roman" w:hAnsi="Times New Roman"/>
          <w:b/>
          <w:i/>
        </w:rPr>
        <w:t>School Year Schedule</w:t>
      </w:r>
      <w:r>
        <w:rPr>
          <w:rFonts w:cs="Times New Roman" w:ascii="Times New Roman" w:hAnsi="Times New Roman"/>
          <w:b/>
        </w:rPr>
        <w:t xml:space="preserve">  </w:t>
      </w:r>
    </w:p>
    <w:p>
      <w:pPr>
        <w:pStyle w:val="Normal"/>
        <w:ind w:firstLine="720" w:end="0"/>
        <w:rPr/>
      </w:pPr>
      <w:r>
        <w:rPr/>
        <w:t xml:space="preserve">Legislation providing for the adjustment of the public school year so as to avoid </w:t>
      </w:r>
    </w:p>
    <w:p>
      <w:pPr>
        <w:pStyle w:val="Normal"/>
        <w:ind w:firstLine="720" w:end="0"/>
        <w:rPr/>
      </w:pPr>
      <w:r>
        <w:rPr/>
        <w:t>peak ozone periods, in deference to the scheduling of final exams.</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tbl>
      <w:tblPr>
        <w:tblW w:w="9302" w:type="dxa"/>
        <w:jc w:val="start"/>
        <w:tblInd w:w="0" w:type="dxa"/>
        <w:tblLayout w:type="fixed"/>
        <w:tblCellMar>
          <w:top w:w="0" w:type="dxa"/>
          <w:start w:w="108" w:type="dxa"/>
          <w:bottom w:w="0" w:type="dxa"/>
          <w:end w:w="108" w:type="dxa"/>
        </w:tblCellMar>
      </w:tblPr>
      <w:tblGrid>
        <w:gridCol w:w="4334"/>
        <w:gridCol w:w="648"/>
        <w:gridCol w:w="4320"/>
      </w:tblGrid>
      <w:tr>
        <w:trPr/>
        <w:tc>
          <w:tcPr>
            <w:tcW w:w="4334" w:type="dxa"/>
            <w:tcBorders>
              <w:bottom w:val="single" w:sz="6" w:space="0" w:color="000000"/>
            </w:tcBorders>
          </w:tcPr>
          <w:p>
            <w:pPr>
              <w:pStyle w:val="Normal"/>
              <w:snapToGrid w:val="false"/>
              <w:rPr/>
            </w:pPr>
            <w:r>
              <w:rPr/>
            </w:r>
          </w:p>
        </w:tc>
        <w:tc>
          <w:tcPr>
            <w:tcW w:w="648" w:type="dxa"/>
            <w:tcBorders/>
          </w:tcPr>
          <w:p>
            <w:pPr>
              <w:pStyle w:val="Normal"/>
              <w:snapToGrid w:val="false"/>
              <w:rPr/>
            </w:pPr>
            <w:r>
              <w:rPr/>
            </w:r>
          </w:p>
        </w:tc>
        <w:tc>
          <w:tcPr>
            <w:tcW w:w="4320" w:type="dxa"/>
            <w:tcBorders>
              <w:bottom w:val="single" w:sz="6" w:space="0" w:color="000000"/>
            </w:tcBorders>
          </w:tcPr>
          <w:p>
            <w:pPr>
              <w:pStyle w:val="Normal"/>
              <w:snapToGrid w:val="false"/>
              <w:rPr/>
            </w:pPr>
            <w:r>
              <w:rPr/>
            </w:r>
          </w:p>
        </w:tc>
      </w:tr>
      <w:tr>
        <w:trPr/>
        <w:tc>
          <w:tcPr>
            <w:tcW w:w="4334" w:type="dxa"/>
            <w:tcBorders/>
          </w:tcPr>
          <w:p>
            <w:pPr>
              <w:pStyle w:val="Normal"/>
              <w:rPr/>
            </w:pPr>
            <w:r>
              <w:rPr/>
              <w:t>James R. Royer, Chairman</w:t>
            </w:r>
          </w:p>
        </w:tc>
        <w:tc>
          <w:tcPr>
            <w:tcW w:w="648" w:type="dxa"/>
            <w:tcBorders/>
          </w:tcPr>
          <w:p>
            <w:pPr>
              <w:pStyle w:val="Normal"/>
              <w:snapToGrid w:val="false"/>
              <w:rPr/>
            </w:pPr>
            <w:r>
              <w:rPr/>
            </w:r>
          </w:p>
        </w:tc>
        <w:tc>
          <w:tcPr>
            <w:tcW w:w="4320" w:type="dxa"/>
            <w:tcBorders/>
          </w:tcPr>
          <w:p>
            <w:pPr>
              <w:pStyle w:val="Normal"/>
              <w:rPr/>
            </w:pPr>
            <w:r>
              <w:rPr/>
              <w:t>Jim C. Kollaer, President &amp; CEO</w:t>
            </w:r>
          </w:p>
        </w:tc>
      </w:tr>
    </w:tbl>
    <w:p>
      <w:pPr>
        <w:pStyle w:val="Normal"/>
        <w:rPr/>
      </w:pPr>
      <w:r>
        <w:rPr/>
      </w:r>
    </w:p>
    <w:p>
      <w:pPr>
        <w:pStyle w:val="Normal"/>
        <w:rPr/>
      </w:pPr>
      <w:r>
        <w:rPr/>
      </w:r>
    </w:p>
    <w:tbl>
      <w:tblPr>
        <w:tblW w:w="9302" w:type="dxa"/>
        <w:jc w:val="start"/>
        <w:tblInd w:w="0" w:type="dxa"/>
        <w:tblLayout w:type="fixed"/>
        <w:tblCellMar>
          <w:top w:w="0" w:type="dxa"/>
          <w:start w:w="108" w:type="dxa"/>
          <w:bottom w:w="0" w:type="dxa"/>
          <w:end w:w="108" w:type="dxa"/>
        </w:tblCellMar>
      </w:tblPr>
      <w:tblGrid>
        <w:gridCol w:w="4334"/>
        <w:gridCol w:w="648"/>
        <w:gridCol w:w="4320"/>
      </w:tblGrid>
      <w:tr>
        <w:trPr/>
        <w:tc>
          <w:tcPr>
            <w:tcW w:w="4334" w:type="dxa"/>
            <w:tcBorders>
              <w:bottom w:val="single" w:sz="6" w:space="0" w:color="000000"/>
            </w:tcBorders>
          </w:tcPr>
          <w:p>
            <w:pPr>
              <w:pStyle w:val="Normal"/>
              <w:snapToGrid w:val="false"/>
              <w:rPr/>
            </w:pPr>
            <w:r>
              <w:rPr/>
            </w:r>
          </w:p>
        </w:tc>
        <w:tc>
          <w:tcPr>
            <w:tcW w:w="648" w:type="dxa"/>
            <w:tcBorders/>
          </w:tcPr>
          <w:p>
            <w:pPr>
              <w:pStyle w:val="Normal"/>
              <w:snapToGrid w:val="false"/>
              <w:rPr/>
            </w:pPr>
            <w:r>
              <w:rPr/>
            </w:r>
          </w:p>
        </w:tc>
        <w:tc>
          <w:tcPr>
            <w:tcW w:w="4320" w:type="dxa"/>
            <w:tcBorders/>
          </w:tcPr>
          <w:p>
            <w:pPr>
              <w:pStyle w:val="Normal"/>
              <w:snapToGrid w:val="false"/>
              <w:rPr/>
            </w:pPr>
            <w:r>
              <w:rPr/>
            </w:r>
          </w:p>
        </w:tc>
      </w:tr>
      <w:tr>
        <w:trPr/>
        <w:tc>
          <w:tcPr>
            <w:tcW w:w="4334" w:type="dxa"/>
            <w:tcBorders/>
          </w:tcPr>
          <w:p>
            <w:pPr>
              <w:pStyle w:val="Normal"/>
              <w:rPr/>
            </w:pPr>
            <w:r>
              <w:rPr/>
              <w:t>R. Bruce LaBoon, Secretary</w:t>
            </w:r>
          </w:p>
        </w:tc>
        <w:tc>
          <w:tcPr>
            <w:tcW w:w="648" w:type="dxa"/>
            <w:tcBorders/>
          </w:tcPr>
          <w:p>
            <w:pPr>
              <w:pStyle w:val="Normal"/>
              <w:snapToGrid w:val="false"/>
              <w:rPr/>
            </w:pPr>
            <w:r>
              <w:rPr/>
            </w:r>
          </w:p>
        </w:tc>
        <w:tc>
          <w:tcPr>
            <w:tcW w:w="4320" w:type="dxa"/>
            <w:tcBorders/>
          </w:tcPr>
          <w:p>
            <w:pPr>
              <w:pStyle w:val="Normal"/>
              <w:snapToGrid w:val="false"/>
              <w:rPr/>
            </w:pPr>
            <w:r>
              <w:rPr/>
            </w:r>
          </w:p>
        </w:tc>
      </w:tr>
    </w:tbl>
    <w:p>
      <w:pPr>
        <w:pStyle w:val="Normal"/>
        <w:rPr/>
      </w:pPr>
      <w:r>
        <w:rPr/>
      </w:r>
    </w:p>
    <w:p>
      <w:pPr>
        <w:pStyle w:val="Normal"/>
        <w:rPr/>
      </w:pPr>
      <w:r>
        <w:rPr/>
      </w:r>
    </w:p>
    <w:sectPr>
      <w:footerReference w:type="default" r:id="rId5"/>
      <w:footerReference w:type="first" r:id="rId6"/>
      <w:type w:val="nextPage"/>
      <w:pgSz w:w="12240" w:h="15840"/>
      <w:pgMar w:left="1680" w:right="1680" w:gutter="0" w:header="0" w:top="1440" w:footer="96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 w:name="Arial Unicode MS">
    <w:altName w:val="Tahoma"/>
    <w:charset w:val="80"/>
    <w:family w:val="swiss"/>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p>
    <w:pPr>
      <w:pStyle w:val="Footer"/>
      <w:rPr/>
    </w:pPr>
    <w:r>
      <w:rPr/>
    </w:r>
  </w:p>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overflowPunct w:val="false"/>
      <w:autoSpaceDE w:val="false"/>
      <w:bidi w:val="0"/>
      <w:textAlignment w:val="baseline"/>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overflowPunct w:val="true"/>
      <w:autoSpaceDE w:val="true"/>
      <w:jc w:val="center"/>
      <w:textAlignment w:val="auto"/>
      <w:outlineLvl w:val="0"/>
    </w:pPr>
    <w:rPr>
      <w:b/>
      <w:sz w:val="32"/>
    </w:rPr>
  </w:style>
  <w:style w:type="paragraph" w:styleId="Heading2">
    <w:name w:val="heading 2"/>
    <w:basedOn w:val="Normal"/>
    <w:next w:val="Normal"/>
    <w:qFormat/>
    <w:pPr>
      <w:keepNext w:val="true"/>
      <w:numPr>
        <w:ilvl w:val="1"/>
        <w:numId w:val="1"/>
      </w:numPr>
      <w:overflowPunct w:val="true"/>
      <w:autoSpaceDE w:val="true"/>
      <w:textAlignment w:val="auto"/>
      <w:outlineLvl w:val="1"/>
    </w:pPr>
    <w:rPr>
      <w:b/>
      <w:u w:val="single"/>
    </w:rPr>
  </w:style>
  <w:style w:type="paragraph" w:styleId="Heading3">
    <w:name w:val="heading 3"/>
    <w:basedOn w:val="Normal"/>
    <w:next w:val="Normal"/>
    <w:qFormat/>
    <w:pPr>
      <w:keepNext w:val="true"/>
      <w:numPr>
        <w:ilvl w:val="2"/>
        <w:numId w:val="1"/>
      </w:numPr>
      <w:pBdr>
        <w:bottom w:val="single" w:sz="6" w:space="1" w:color="000000"/>
      </w:pBdr>
      <w:jc w:val="center"/>
      <w:outlineLvl w:val="2"/>
    </w:pPr>
    <w:rPr>
      <w:b/>
      <w:bCs/>
      <w:sz w:val="28"/>
    </w:rPr>
  </w:style>
  <w:style w:type="paragraph" w:styleId="Heading4">
    <w:name w:val="heading 4"/>
    <w:basedOn w:val="Normal"/>
    <w:next w:val="Normal"/>
    <w:qFormat/>
    <w:pPr>
      <w:keepNext w:val="true"/>
      <w:numPr>
        <w:ilvl w:val="3"/>
        <w:numId w:val="1"/>
      </w:numPr>
      <w:pBdr>
        <w:top w:val="single" w:sz="6" w:space="12" w:color="000000"/>
        <w:bottom w:val="single" w:sz="6" w:space="12" w:color="000000"/>
      </w:pBdr>
      <w:tabs>
        <w:tab w:val="clear" w:pos="720"/>
        <w:tab w:val="right" w:pos="8910" w:leader="none"/>
      </w:tabs>
      <w:outlineLvl w:val="3"/>
    </w:pPr>
    <w:rPr>
      <w:b/>
      <w:sz w:val="28"/>
    </w:rPr>
  </w:style>
  <w:style w:type="character" w:styleId="WW8Num1z0">
    <w:name w:val="WW8Num1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overflowPunct w:val="true"/>
      <w:autoSpaceDE w:val="true"/>
      <w:jc w:val="center"/>
      <w:textAlignment w:val="auto"/>
    </w:pPr>
    <w:rPr>
      <w:rFonts w:ascii="Arial" w:hAnsi="Arial" w:cs="Arial"/>
      <w:b/>
      <w:sz w:val="32"/>
    </w:rPr>
  </w:style>
  <w:style w:type="paragraph" w:styleId="BodyText">
    <w:name w:val="Body Text"/>
    <w:basedOn w:val="Normal"/>
    <w:pPr>
      <w:overflowPunct w:val="true"/>
      <w:autoSpaceDE w:val="true"/>
      <w:textAlignment w:val="auto"/>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rFonts w:ascii="Arial Narrow" w:hAnsi="Arial Narrow" w:cs="Arial Narrow"/>
      <w:sz w:val="18"/>
    </w:rPr>
  </w:style>
  <w:style w:type="paragraph" w:styleId="Header">
    <w:name w:val="header"/>
    <w:basedOn w:val="Normal"/>
    <w:pPr>
      <w:tabs>
        <w:tab w:val="clear" w:pos="720"/>
        <w:tab w:val="center" w:pos="4320" w:leader="none"/>
        <w:tab w:val="right" w:pos="8640" w:leader="none"/>
      </w:tabs>
    </w:pPr>
    <w:rPr/>
  </w:style>
  <w:style w:type="paragraph" w:styleId="BodyText3">
    <w:name w:val="Body Text 3"/>
    <w:basedOn w:val="Normal"/>
    <w:qFormat/>
    <w:pPr>
      <w:overflowPunct w:val="true"/>
      <w:autoSpaceDE w:val="true"/>
      <w:spacing w:before="100" w:after="100"/>
      <w:textAlignment w:val="auto"/>
    </w:pPr>
    <w:rPr>
      <w:rFonts w:ascii="Arial Unicode MS;Tahoma" w:hAnsi="Arial Unicode MS;Tahoma" w:eastAsia="Arial Unicode MS;Tahoma" w:cs="Arial Unicode MS;Tahoma"/>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1998 Resolution.dot</Template>
  <TotalTime>29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2000-11-30T18:42:00Z</dcterms:created>
  <dc:creator>Advocate for Houston Business</dc:creator>
  <dc:description/>
  <dc:language>en-CA</dc:language>
  <cp:lastModifiedBy>Arlene McCarty</cp:lastModifiedBy>
  <cp:lastPrinted>2000-11-29T09:40:00Z</cp:lastPrinted>
  <dcterms:modified xsi:type="dcterms:W3CDTF">2000-11-30T19:10:00Z</dcterms:modified>
  <cp:revision>3</cp:revision>
  <dc:subject/>
  <dc:title>Greater Houston Partnership							February 4, 1997</dc:title>
</cp:coreProperties>
</file>