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99CCFF" w:val="clear"/>
        <w:rPr>
          <w:b/>
          <w:bCs/>
        </w:rPr>
      </w:pPr>
      <w:r>
        <w:rPr>
          <w:b/>
          <w:bCs/>
        </w:rPr>
        <w:t>Activities of Past Week:</w:t>
      </w:r>
    </w:p>
    <w:p>
      <w:pPr>
        <w:pStyle w:val="Normal"/>
        <w:rPr>
          <w:b/>
          <w:bCs/>
        </w:rPr>
      </w:pPr>
      <w:r>
        <w:rPr>
          <w:b/>
          <w:bCs/>
        </w:rPr>
      </w:r>
    </w:p>
    <w:tbl>
      <w:tblPr>
        <w:tblW w:w="11016" w:type="dxa"/>
        <w:jc w:val="start"/>
        <w:tblInd w:w="0" w:type="dxa"/>
        <w:tblLayout w:type="fixed"/>
        <w:tblCellMar>
          <w:top w:w="0" w:type="dxa"/>
          <w:start w:w="108" w:type="dxa"/>
          <w:bottom w:w="0" w:type="dxa"/>
          <w:end w:w="108" w:type="dxa"/>
        </w:tblCellMar>
      </w:tblPr>
      <w:tblGrid>
        <w:gridCol w:w="2268"/>
        <w:gridCol w:w="2700"/>
        <w:gridCol w:w="604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Subjects</w:t>
            </w:r>
          </w:p>
        </w:tc>
        <w:tc>
          <w:tcPr>
            <w:tcW w:w="604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Comments</w:t>
            </w:r>
          </w:p>
        </w:tc>
      </w:tr>
      <w:tr>
        <w:trPr/>
        <w:tc>
          <w:tcPr>
            <w:tcW w:w="2268" w:type="dxa"/>
            <w:tcBorders>
              <w:top w:val="single" w:sz="4" w:space="0" w:color="000000"/>
              <w:end w:val="single" w:sz="4" w:space="0" w:color="000000"/>
            </w:tcBorders>
          </w:tcPr>
          <w:p>
            <w:pPr>
              <w:pStyle w:val="Header"/>
              <w:tabs>
                <w:tab w:val="clear" w:pos="4320"/>
                <w:tab w:val="clear" w:pos="8640"/>
              </w:tabs>
              <w:rPr/>
            </w:pPr>
            <w:r>
              <w:rPr/>
              <w:t>EES Transition - Meeting Attendance</w:t>
            </w:r>
          </w:p>
        </w:tc>
        <w:tc>
          <w:tcPr>
            <w:tcW w:w="2700" w:type="dxa"/>
            <w:tcBorders>
              <w:top w:val="single" w:sz="4" w:space="0" w:color="000000"/>
              <w:start w:val="single" w:sz="4" w:space="0" w:color="000000"/>
              <w:end w:val="single" w:sz="4" w:space="0" w:color="000000"/>
            </w:tcBorders>
          </w:tcPr>
          <w:p>
            <w:pPr>
              <w:pStyle w:val="Normal"/>
              <w:numPr>
                <w:ilvl w:val="0"/>
                <w:numId w:val="1"/>
              </w:numPr>
              <w:rPr/>
            </w:pPr>
            <w:r>
              <w:rPr/>
              <w:t xml:space="preserve">Gutenberg Transitional Tools </w:t>
            </w:r>
          </w:p>
        </w:tc>
        <w:tc>
          <w:tcPr>
            <w:tcW w:w="6048" w:type="dxa"/>
            <w:tcBorders>
              <w:top w:val="single" w:sz="4" w:space="0" w:color="000000"/>
              <w:start w:val="single" w:sz="4" w:space="0" w:color="000000"/>
            </w:tcBorders>
          </w:tcPr>
          <w:p>
            <w:pPr>
              <w:pStyle w:val="Normal"/>
              <w:numPr>
                <w:ilvl w:val="0"/>
                <w:numId w:val="1"/>
              </w:numPr>
              <w:rPr/>
            </w:pPr>
            <w:r>
              <w:rPr/>
              <w:t xml:space="preserve">The Gutenberg project has been presented as a project which has been established to focus on processes and systems from soup to nuts.  However, it appears that the primary focus at this point is on Deal Management and their Transitional Tools.  It appears at this point that very little focus is being put on the </w:t>
            </w:r>
          </w:p>
          <w:p>
            <w:pPr>
              <w:pStyle w:val="Header"/>
              <w:tabs>
                <w:tab w:val="clear" w:pos="4320"/>
                <w:tab w:val="clear" w:pos="8640"/>
              </w:tabs>
              <w:rPr/>
            </w:pPr>
            <w:r>
              <w:rPr/>
            </w:r>
          </w:p>
        </w:tc>
      </w:tr>
      <w:tr>
        <w:trPr/>
        <w:tc>
          <w:tcPr>
            <w:tcW w:w="2268" w:type="dxa"/>
            <w:tcBorders>
              <w:bottom w:val="single" w:sz="4" w:space="0" w:color="000000"/>
              <w:end w:val="single" w:sz="4" w:space="0" w:color="000000"/>
            </w:tcBorders>
          </w:tcPr>
          <w:p>
            <w:pPr>
              <w:pStyle w:val="Normal"/>
              <w:snapToGrid w:val="false"/>
              <w:rPr/>
            </w:pPr>
            <w:r>
              <w:rPr/>
            </w:r>
          </w:p>
        </w:tc>
        <w:tc>
          <w:tcPr>
            <w:tcW w:w="2700" w:type="dxa"/>
            <w:tcBorders>
              <w:start w:val="single" w:sz="4" w:space="0" w:color="000000"/>
              <w:bottom w:val="single" w:sz="4" w:space="0" w:color="000000"/>
              <w:end w:val="single" w:sz="4" w:space="0" w:color="000000"/>
            </w:tcBorders>
          </w:tcPr>
          <w:p>
            <w:pPr>
              <w:pStyle w:val="Normal"/>
              <w:numPr>
                <w:ilvl w:val="0"/>
                <w:numId w:val="1"/>
              </w:numPr>
              <w:rPr/>
            </w:pPr>
            <w:r>
              <w:rPr/>
              <w:t>URM Book Reporting / Valuation Discussion</w:t>
            </w:r>
          </w:p>
        </w:tc>
        <w:tc>
          <w:tcPr>
            <w:tcW w:w="6048" w:type="dxa"/>
            <w:tcBorders>
              <w:start w:val="single" w:sz="4" w:space="0" w:color="000000"/>
              <w:bottom w:val="single" w:sz="4" w:space="0" w:color="000000"/>
            </w:tcBorders>
          </w:tcPr>
          <w:p>
            <w:pPr>
              <w:pStyle w:val="Normal"/>
              <w:numPr>
                <w:ilvl w:val="0"/>
                <w:numId w:val="1"/>
              </w:numPr>
              <w:rPr/>
            </w:pPr>
            <w:r>
              <w:rPr/>
              <w:t xml:space="preserve">Discussions were held with Jay Lewis, Brenda Herod, Mary Lynne Ruffer, Scott Mills, Beth Apollo, &amp; Chris Stokley. </w:t>
            </w:r>
          </w:p>
          <w:p>
            <w:pPr>
              <w:pStyle w:val="Normal"/>
              <w:numPr>
                <w:ilvl w:val="0"/>
                <w:numId w:val="1"/>
              </w:numPr>
              <w:rPr/>
            </w:pPr>
            <w:r>
              <w:rPr/>
              <w:t>Issues appeared to be the following:</w:t>
            </w:r>
          </w:p>
          <w:p>
            <w:pPr>
              <w:pStyle w:val="Normal"/>
              <w:numPr>
                <w:ilvl w:val="1"/>
                <w:numId w:val="1"/>
              </w:numPr>
              <w:rPr/>
            </w:pPr>
            <w:r>
              <w:rPr/>
              <w:t>There is currently no method for providing $/MW and $/MWH from utility invoices for (Trans, Dist, Reg. Gen or De-Reg. Gen or Other</w:t>
            </w:r>
          </w:p>
          <w:p>
            <w:pPr>
              <w:pStyle w:val="Normal"/>
              <w:numPr>
                <w:ilvl w:val="1"/>
                <w:numId w:val="1"/>
              </w:numPr>
              <w:rPr/>
            </w:pPr>
            <w:r>
              <w:rPr/>
              <w:t>There is no method to currently pull a point in time estimation numbers to compare to actuals.</w:t>
            </w:r>
          </w:p>
          <w:p>
            <w:pPr>
              <w:pStyle w:val="Normal"/>
              <w:numPr>
                <w:ilvl w:val="1"/>
                <w:numId w:val="1"/>
              </w:numPr>
              <w:rPr/>
            </w:pPr>
            <w:r>
              <w:rPr/>
              <w:t>Currently there is no reusable place to store, 10K findings.</w:t>
            </w:r>
          </w:p>
          <w:p>
            <w:pPr>
              <w:pStyle w:val="Normal"/>
              <w:numPr>
                <w:ilvl w:val="1"/>
                <w:numId w:val="1"/>
              </w:numPr>
              <w:rPr/>
            </w:pPr>
            <w:r>
              <w:rPr/>
              <w:t>Currently RUM does not have ability to automatically pull mandated discounts on utility</w:t>
            </w:r>
          </w:p>
          <w:p>
            <w:pPr>
              <w:pStyle w:val="Normal"/>
              <w:numPr>
                <w:ilvl w:val="1"/>
                <w:numId w:val="1"/>
              </w:numPr>
              <w:rPr/>
            </w:pPr>
            <w:r>
              <w:rPr/>
              <w:t>Process has not been established to pass risk associated with volume difference on to Site Profile book (Book does not exist)</w:t>
            </w:r>
          </w:p>
          <w:p>
            <w:pPr>
              <w:pStyle w:val="Normal"/>
              <w:numPr>
                <w:ilvl w:val="1"/>
                <w:numId w:val="1"/>
              </w:numPr>
              <w:rPr/>
            </w:pPr>
            <w:r>
              <w:rPr/>
              <w:t>URM book will be responsible for rate difference</w:t>
            </w:r>
          </w:p>
          <w:p>
            <w:pPr>
              <w:pStyle w:val="Normal"/>
              <w:numPr>
                <w:ilvl w:val="0"/>
                <w:numId w:val="1"/>
              </w:numPr>
              <w:rPr/>
            </w:pPr>
            <w:r>
              <w:rPr/>
              <w:t>Other Notes:</w:t>
            </w:r>
          </w:p>
          <w:p>
            <w:pPr>
              <w:pStyle w:val="Normal"/>
              <w:numPr>
                <w:ilvl w:val="1"/>
                <w:numId w:val="1"/>
              </w:numPr>
              <w:rPr/>
            </w:pPr>
            <w:r>
              <w:rPr/>
              <w:t>Need detail by rate schedule, by customer, by meter</w:t>
            </w:r>
          </w:p>
          <w:p>
            <w:pPr>
              <w:pStyle w:val="Normal"/>
              <w:numPr>
                <w:ilvl w:val="0"/>
                <w:numId w:val="1"/>
              </w:numPr>
              <w:rPr/>
            </w:pPr>
            <w:r>
              <w:rPr/>
              <w:t xml:space="preserve">There were no quick solutions recommended.  </w:t>
            </w:r>
          </w:p>
          <w:p>
            <w:pPr>
              <w:pStyle w:val="Normal"/>
              <w:numPr>
                <w:ilvl w:val="0"/>
                <w:numId w:val="1"/>
              </w:numPr>
              <w:rPr/>
            </w:pPr>
            <w:r>
              <w:rPr/>
              <w:t>Next Steps:</w:t>
            </w:r>
          </w:p>
          <w:p>
            <w:pPr>
              <w:pStyle w:val="Normal"/>
              <w:numPr>
                <w:ilvl w:val="1"/>
                <w:numId w:val="1"/>
              </w:numPr>
              <w:rPr/>
            </w:pPr>
            <w:r>
              <w:rPr/>
              <w:t>Scott Mills to determine book requirements for Site Profile and establish book</w:t>
            </w:r>
          </w:p>
          <w:p>
            <w:pPr>
              <w:pStyle w:val="Normal"/>
              <w:numPr>
                <w:ilvl w:val="1"/>
                <w:numId w:val="1"/>
              </w:numPr>
              <w:rPr/>
            </w:pPr>
            <w:r>
              <w:rPr/>
              <w:t xml:space="preserve">Jay needs a team of people to look into detail on accounts which are booked in aggregate.  Need deals for each metered location.  Example of issue: JCPenny’s </w:t>
            </w:r>
          </w:p>
          <w:p>
            <w:pPr>
              <w:pStyle w:val="Normal"/>
              <w:numPr>
                <w:ilvl w:val="1"/>
                <w:numId w:val="1"/>
              </w:numPr>
              <w:rPr/>
            </w:pPr>
            <w:r>
              <w:rPr/>
              <w:t>Jay needs a database build to store 10K results</w:t>
            </w:r>
          </w:p>
          <w:p>
            <w:pPr>
              <w:pStyle w:val="Normal"/>
              <w:numPr>
                <w:ilvl w:val="1"/>
                <w:numId w:val="1"/>
              </w:numPr>
              <w:rPr/>
            </w:pPr>
            <w:r>
              <w:rPr/>
              <w:t>Storage of estimations needs to be performed to allow for flash to actual reporting.</w:t>
            </w:r>
          </w:p>
          <w:p>
            <w:pPr>
              <w:pStyle w:val="Header"/>
              <w:tabs>
                <w:tab w:val="clear" w:pos="4320"/>
                <w:tab w:val="clear" w:pos="8640"/>
              </w:tabs>
              <w:rPr/>
            </w:pPr>
            <w:r>
              <w:rPr/>
            </w:r>
          </w:p>
        </w:tc>
      </w:tr>
      <w:tr>
        <w:trPr/>
        <w:tc>
          <w:tcPr>
            <w:tcW w:w="2268" w:type="dxa"/>
            <w:tcBorders>
              <w:top w:val="single" w:sz="4" w:space="0" w:color="000000"/>
              <w:end w:val="single" w:sz="4" w:space="0" w:color="000000"/>
            </w:tcBorders>
          </w:tcPr>
          <w:p>
            <w:pPr>
              <w:pStyle w:val="Normal"/>
              <w:rPr/>
            </w:pPr>
            <w:r>
              <w:rPr/>
              <w:t>Wholesale Activity Meeting Attendance.</w:t>
            </w:r>
          </w:p>
        </w:tc>
        <w:tc>
          <w:tcPr>
            <w:tcW w:w="2700" w:type="dxa"/>
            <w:tcBorders>
              <w:top w:val="single" w:sz="4" w:space="0" w:color="000000"/>
              <w:start w:val="single" w:sz="4" w:space="0" w:color="000000"/>
              <w:end w:val="single" w:sz="4" w:space="0" w:color="000000"/>
            </w:tcBorders>
          </w:tcPr>
          <w:p>
            <w:pPr>
              <w:pStyle w:val="Normal"/>
              <w:numPr>
                <w:ilvl w:val="0"/>
                <w:numId w:val="5"/>
              </w:numPr>
              <w:rPr/>
            </w:pPr>
            <w:r>
              <w:rPr/>
              <w:t>ENA VMS Signoff Meeting</w:t>
            </w:r>
          </w:p>
        </w:tc>
        <w:tc>
          <w:tcPr>
            <w:tcW w:w="6048" w:type="dxa"/>
            <w:tcBorders>
              <w:top w:val="single" w:sz="4" w:space="0" w:color="000000"/>
              <w:start w:val="single" w:sz="4" w:space="0" w:color="000000"/>
            </w:tcBorders>
          </w:tcPr>
          <w:p>
            <w:pPr>
              <w:pStyle w:val="Normal"/>
              <w:numPr>
                <w:ilvl w:val="0"/>
                <w:numId w:val="1"/>
              </w:numPr>
              <w:rPr/>
            </w:pPr>
            <w:r>
              <w:rPr/>
              <w:t xml:space="preserve">Discussions were held with Bob Hall, Leslie Reeves, Thresa Allen, Chris Stokley and Murray O’Neil. </w:t>
            </w:r>
          </w:p>
          <w:p>
            <w:pPr>
              <w:pStyle w:val="Normal"/>
              <w:numPr>
                <w:ilvl w:val="0"/>
                <w:numId w:val="1"/>
              </w:numPr>
              <w:rPr/>
            </w:pPr>
            <w:r>
              <w:rPr/>
              <w:t>Discussion was around extension of the Razorfish / Enron relationship and Statement of Work (SOW)</w:t>
            </w:r>
          </w:p>
          <w:p>
            <w:pPr>
              <w:pStyle w:val="Normal"/>
              <w:numPr>
                <w:ilvl w:val="0"/>
                <w:numId w:val="5"/>
              </w:numPr>
              <w:rPr/>
            </w:pPr>
            <w:r>
              <w:rPr/>
              <w:t>After discussing the status of East desk activities, the VMS product and to position of Enron Networks IT staffing.  The team agreed that it was necessary for Enron to extend the relationship with Razorfish for another 3 months until further research is completed on the East markets and a transition of knowledge was achieved between Razorfish and Enron.</w:t>
            </w:r>
          </w:p>
          <w:p>
            <w:pPr>
              <w:pStyle w:val="Header"/>
              <w:tabs>
                <w:tab w:val="clear" w:pos="4320"/>
                <w:tab w:val="clear" w:pos="8640"/>
              </w:tabs>
              <w:rPr/>
            </w:pPr>
            <w:r>
              <w:rPr/>
            </w:r>
          </w:p>
        </w:tc>
      </w:tr>
      <w:tr>
        <w:trPr/>
        <w:tc>
          <w:tcPr>
            <w:tcW w:w="2268" w:type="dxa"/>
            <w:tcBorders>
              <w:end w:val="single" w:sz="4" w:space="0" w:color="000000"/>
            </w:tcBorders>
          </w:tcPr>
          <w:p>
            <w:pPr>
              <w:pStyle w:val="Normal"/>
              <w:snapToGrid w:val="false"/>
              <w:rPr/>
            </w:pPr>
            <w:r>
              <w:rPr/>
            </w:r>
          </w:p>
        </w:tc>
        <w:tc>
          <w:tcPr>
            <w:tcW w:w="2700" w:type="dxa"/>
            <w:tcBorders>
              <w:start w:val="single" w:sz="4" w:space="0" w:color="000000"/>
              <w:end w:val="single" w:sz="4" w:space="0" w:color="000000"/>
            </w:tcBorders>
          </w:tcPr>
          <w:p>
            <w:pPr>
              <w:pStyle w:val="Normal"/>
              <w:numPr>
                <w:ilvl w:val="0"/>
                <w:numId w:val="5"/>
              </w:numPr>
              <w:rPr/>
            </w:pPr>
            <w:r>
              <w:rPr/>
              <w:t>Enron / Razorfish Negotiations</w:t>
            </w:r>
          </w:p>
        </w:tc>
        <w:tc>
          <w:tcPr>
            <w:tcW w:w="6048" w:type="dxa"/>
            <w:tcBorders>
              <w:start w:val="single" w:sz="4" w:space="0" w:color="000000"/>
            </w:tcBorders>
          </w:tcPr>
          <w:p>
            <w:pPr>
              <w:pStyle w:val="Normal"/>
              <w:numPr>
                <w:ilvl w:val="0"/>
                <w:numId w:val="1"/>
              </w:numPr>
              <w:rPr/>
            </w:pPr>
            <w:r>
              <w:rPr/>
              <w:t xml:space="preserve">Discussions were held with </w:t>
            </w:r>
          </w:p>
          <w:p>
            <w:pPr>
              <w:pStyle w:val="Normal"/>
              <w:numPr>
                <w:ilvl w:val="1"/>
                <w:numId w:val="1"/>
              </w:numPr>
              <w:rPr/>
            </w:pPr>
            <w:r>
              <w:rPr/>
              <w:t>Murray and Willem Devries (Razorfish)</w:t>
            </w:r>
          </w:p>
          <w:p>
            <w:pPr>
              <w:pStyle w:val="Normal"/>
              <w:ind w:start="360" w:end="0"/>
              <w:rPr/>
            </w:pPr>
            <w:r>
              <w:rPr/>
            </w:r>
          </w:p>
          <w:p>
            <w:pPr>
              <w:pStyle w:val="Normal"/>
              <w:numPr>
                <w:ilvl w:val="0"/>
                <w:numId w:val="1"/>
              </w:numPr>
              <w:rPr/>
            </w:pPr>
            <w:r>
              <w:rPr/>
              <w:t>Negotiations were concluded and they included Razorfish releasing 2 of there employees from their non competes to become employees of Enron.</w:t>
            </w:r>
          </w:p>
          <w:p>
            <w:pPr>
              <w:pStyle w:val="Header"/>
              <w:tabs>
                <w:tab w:val="clear" w:pos="4320"/>
                <w:tab w:val="clear" w:pos="8640"/>
              </w:tabs>
              <w:rPr/>
            </w:pPr>
            <w:r>
              <w:rPr/>
            </w:r>
          </w:p>
        </w:tc>
      </w:tr>
      <w:tr>
        <w:trPr/>
        <w:tc>
          <w:tcPr>
            <w:tcW w:w="2268" w:type="dxa"/>
            <w:tcBorders>
              <w:end w:val="single" w:sz="4" w:space="0" w:color="000000"/>
            </w:tcBorders>
          </w:tcPr>
          <w:p>
            <w:pPr>
              <w:pStyle w:val="Normal"/>
              <w:snapToGrid w:val="false"/>
              <w:rPr/>
            </w:pPr>
            <w:r>
              <w:rPr/>
            </w:r>
          </w:p>
        </w:tc>
        <w:tc>
          <w:tcPr>
            <w:tcW w:w="2700" w:type="dxa"/>
            <w:tcBorders>
              <w:start w:val="single" w:sz="4" w:space="0" w:color="000000"/>
              <w:end w:val="single" w:sz="4" w:space="0" w:color="000000"/>
            </w:tcBorders>
          </w:tcPr>
          <w:p>
            <w:pPr>
              <w:pStyle w:val="Normal"/>
              <w:numPr>
                <w:ilvl w:val="0"/>
                <w:numId w:val="5"/>
              </w:numPr>
              <w:rPr/>
            </w:pPr>
            <w:r>
              <w:rPr/>
              <w:t xml:space="preserve">GSS –Rasorfish Signoff Meeting </w:t>
            </w:r>
          </w:p>
        </w:tc>
        <w:tc>
          <w:tcPr>
            <w:tcW w:w="6048" w:type="dxa"/>
            <w:tcBorders>
              <w:start w:val="single" w:sz="4" w:space="0" w:color="000000"/>
            </w:tcBorders>
          </w:tcPr>
          <w:p>
            <w:pPr>
              <w:pStyle w:val="Normal"/>
              <w:numPr>
                <w:ilvl w:val="0"/>
                <w:numId w:val="1"/>
              </w:numPr>
              <w:rPr/>
            </w:pPr>
            <w:r>
              <w:rPr/>
              <w:t>I held a meeting with Ron Smith of GSS and received the approval on the negotiations and the new SOW</w:t>
            </w:r>
          </w:p>
          <w:p>
            <w:pPr>
              <w:pStyle w:val="Header"/>
              <w:tabs>
                <w:tab w:val="clear" w:pos="4320"/>
                <w:tab w:val="clear" w:pos="8640"/>
              </w:tabs>
              <w:rPr/>
            </w:pPr>
            <w:r>
              <w:rPr/>
            </w:r>
          </w:p>
        </w:tc>
      </w:tr>
      <w:tr>
        <w:trPr/>
        <w:tc>
          <w:tcPr>
            <w:tcW w:w="2268" w:type="dxa"/>
            <w:tcBorders>
              <w:bottom w:val="single" w:sz="4" w:space="0" w:color="000000"/>
              <w:end w:val="single" w:sz="4" w:space="0" w:color="000000"/>
            </w:tcBorders>
          </w:tcPr>
          <w:p>
            <w:pPr>
              <w:pStyle w:val="Normal"/>
              <w:snapToGrid w:val="false"/>
              <w:rPr/>
            </w:pPr>
            <w:r>
              <w:rPr/>
            </w:r>
          </w:p>
        </w:tc>
        <w:tc>
          <w:tcPr>
            <w:tcW w:w="2700" w:type="dxa"/>
            <w:tcBorders>
              <w:start w:val="single" w:sz="4" w:space="0" w:color="000000"/>
              <w:bottom w:val="single" w:sz="4" w:space="0" w:color="000000"/>
              <w:end w:val="single" w:sz="4" w:space="0" w:color="000000"/>
            </w:tcBorders>
          </w:tcPr>
          <w:p>
            <w:pPr>
              <w:pStyle w:val="Normal"/>
              <w:numPr>
                <w:ilvl w:val="0"/>
                <w:numId w:val="5"/>
              </w:numPr>
              <w:rPr/>
            </w:pPr>
            <w:r>
              <w:rPr/>
              <w:t>ENA  - Wholesale Power IT initiatives Meeting</w:t>
            </w:r>
          </w:p>
        </w:tc>
        <w:tc>
          <w:tcPr>
            <w:tcW w:w="6048" w:type="dxa"/>
            <w:tcBorders>
              <w:start w:val="single" w:sz="4" w:space="0" w:color="000000"/>
              <w:bottom w:val="single" w:sz="4" w:space="0" w:color="000000"/>
            </w:tcBorders>
          </w:tcPr>
          <w:p>
            <w:pPr>
              <w:pStyle w:val="Normal"/>
              <w:numPr>
                <w:ilvl w:val="0"/>
                <w:numId w:val="5"/>
              </w:numPr>
              <w:rPr/>
            </w:pPr>
            <w:r>
              <w:rPr/>
              <w:t>There were a number of area representatives involved in this meeting.  East Desk, West Desk, IT, Accenture, East Desk back office support, Management (Louise Kitchen)</w:t>
            </w:r>
          </w:p>
          <w:p>
            <w:pPr>
              <w:pStyle w:val="Header"/>
              <w:tabs>
                <w:tab w:val="clear" w:pos="4320"/>
                <w:tab w:val="clear" w:pos="8640"/>
              </w:tabs>
              <w:rPr/>
            </w:pPr>
            <w:r>
              <w:rPr/>
            </w:r>
          </w:p>
          <w:p>
            <w:pPr>
              <w:pStyle w:val="Normal"/>
              <w:numPr>
                <w:ilvl w:val="0"/>
                <w:numId w:val="5"/>
              </w:numPr>
              <w:rPr/>
            </w:pPr>
            <w:r>
              <w:rPr/>
              <w:t>A Presentation of the Accenture 10 week findings for East Power market research was presented to management.  LK stated that the results were not detailed enough to determine true efforts needed nor true costs which would be associated.  Additional documentation needed to be performed by IT and Accenture.</w:t>
            </w:r>
          </w:p>
        </w:tc>
      </w:tr>
      <w:tr>
        <w:trPr/>
        <w:tc>
          <w:tcPr>
            <w:tcW w:w="2268" w:type="dxa"/>
            <w:tcBorders>
              <w:top w:val="single" w:sz="4" w:space="0" w:color="000000"/>
              <w:end w:val="single" w:sz="4" w:space="0" w:color="000000"/>
            </w:tcBorders>
          </w:tcPr>
          <w:p>
            <w:pPr>
              <w:pStyle w:val="Normal"/>
              <w:rPr/>
            </w:pPr>
            <w:r>
              <w:rPr/>
              <w:t>Misc. Activities – EES Transition</w:t>
            </w:r>
          </w:p>
        </w:tc>
        <w:tc>
          <w:tcPr>
            <w:tcW w:w="2700" w:type="dxa"/>
            <w:tcBorders>
              <w:top w:val="single" w:sz="4" w:space="0" w:color="000000"/>
              <w:start w:val="single" w:sz="4" w:space="0" w:color="000000"/>
              <w:end w:val="single" w:sz="4" w:space="0" w:color="000000"/>
            </w:tcBorders>
          </w:tcPr>
          <w:p>
            <w:pPr>
              <w:pStyle w:val="Normal"/>
              <w:numPr>
                <w:ilvl w:val="0"/>
                <w:numId w:val="7"/>
              </w:numPr>
              <w:rPr/>
            </w:pPr>
            <w:r>
              <w:rPr/>
              <w:t>Communications distributed / collected</w:t>
            </w:r>
          </w:p>
          <w:p>
            <w:pPr>
              <w:pStyle w:val="Normal"/>
              <w:rPr/>
            </w:pPr>
            <w:r>
              <w:rPr/>
            </w:r>
          </w:p>
          <w:p>
            <w:pPr>
              <w:pStyle w:val="Normal"/>
              <w:rPr/>
            </w:pPr>
            <w:r>
              <w:rPr/>
            </w:r>
          </w:p>
          <w:p>
            <w:pPr>
              <w:pStyle w:val="Normal"/>
              <w:rPr/>
            </w:pPr>
            <w:r>
              <w:rPr/>
            </w:r>
          </w:p>
        </w:tc>
        <w:tc>
          <w:tcPr>
            <w:tcW w:w="6048" w:type="dxa"/>
            <w:tcBorders>
              <w:top w:val="single" w:sz="4" w:space="0" w:color="000000"/>
              <w:start w:val="single" w:sz="4" w:space="0" w:color="000000"/>
            </w:tcBorders>
          </w:tcPr>
          <w:p>
            <w:pPr>
              <w:pStyle w:val="Normal"/>
              <w:numPr>
                <w:ilvl w:val="0"/>
                <w:numId w:val="7"/>
              </w:numPr>
              <w:rPr/>
            </w:pPr>
            <w:r>
              <w:rPr/>
              <w:t xml:space="preserve">I have Received </w:t>
            </w:r>
          </w:p>
          <w:p>
            <w:pPr>
              <w:pStyle w:val="Normal"/>
              <w:numPr>
                <w:ilvl w:val="0"/>
                <w:numId w:val="2"/>
              </w:numPr>
              <w:ind w:hanging="360" w:start="720" w:end="0"/>
              <w:rPr/>
            </w:pPr>
            <w:r>
              <w:rPr/>
              <w:t>Gutenberg  “Is” and “Should” be cross-functional process maps (From Glenn Dickson)</w:t>
            </w:r>
          </w:p>
          <w:p>
            <w:pPr>
              <w:pStyle w:val="Normal"/>
              <w:numPr>
                <w:ilvl w:val="0"/>
                <w:numId w:val="7"/>
              </w:numPr>
              <w:ind w:hanging="360" w:start="720" w:end="0"/>
              <w:rPr>
                <w:rStyle w:val="EmailStyle20"/>
                <w:rFonts w:ascii="Times New Roman" w:hAnsi="Times New Roman" w:cs="Times New Roman"/>
                <w:color w:val="000000"/>
                <w:sz w:val="24"/>
                <w:szCs w:val="24"/>
              </w:rPr>
            </w:pPr>
            <w:r>
              <w:rPr>
                <w:rStyle w:val="EmailStyle20"/>
              </w:rPr>
              <w:t>Gutenberg Calculation Engine Project – Phase I dated May 25, 2001.  (From Glenn Dickson)</w:t>
            </w:r>
          </w:p>
          <w:p>
            <w:pPr>
              <w:pStyle w:val="Normal"/>
              <w:numPr>
                <w:ilvl w:val="0"/>
                <w:numId w:val="7"/>
              </w:numPr>
              <w:ind w:hanging="360" w:start="720" w:end="0"/>
              <w:rPr>
                <w:rStyle w:val="EmailStyle20"/>
                <w:rFonts w:ascii="Times New Roman" w:hAnsi="Times New Roman" w:cs="Times New Roman"/>
                <w:color w:val="000000"/>
                <w:sz w:val="24"/>
                <w:szCs w:val="24"/>
              </w:rPr>
            </w:pPr>
            <w:r>
              <w:rPr>
                <w:rStyle w:val="EmailStyle20"/>
              </w:rPr>
              <w:t>MV90 Data flow model (From Chris Stokley)</w:t>
            </w:r>
          </w:p>
          <w:p>
            <w:pPr>
              <w:pStyle w:val="Normal"/>
              <w:numPr>
                <w:ilvl w:val="0"/>
                <w:numId w:val="7"/>
              </w:numPr>
              <w:ind w:hanging="360" w:start="720" w:end="0"/>
              <w:rPr>
                <w:rStyle w:val="EmailStyle20"/>
                <w:rFonts w:ascii="Times New Roman" w:hAnsi="Times New Roman" w:cs="Times New Roman"/>
                <w:color w:val="000000"/>
                <w:sz w:val="24"/>
                <w:szCs w:val="24"/>
              </w:rPr>
            </w:pPr>
            <w:r>
              <w:rPr>
                <w:rStyle w:val="EmailStyle20"/>
              </w:rPr>
              <w:t>RPS Data flow model (From Chris Stokley)</w:t>
            </w:r>
          </w:p>
          <w:p>
            <w:pPr>
              <w:pStyle w:val="Normal"/>
              <w:numPr>
                <w:ilvl w:val="0"/>
                <w:numId w:val="7"/>
              </w:numPr>
              <w:ind w:hanging="360" w:start="720" w:end="0"/>
              <w:rPr>
                <w:rStyle w:val="EmailStyle20"/>
                <w:rFonts w:ascii="Times New Roman" w:hAnsi="Times New Roman" w:cs="Times New Roman"/>
                <w:color w:val="000000"/>
                <w:sz w:val="24"/>
                <w:szCs w:val="24"/>
              </w:rPr>
            </w:pPr>
            <w:r>
              <w:rPr>
                <w:rStyle w:val="EmailStyle20"/>
              </w:rPr>
              <w:t xml:space="preserve">Site Profile Desk Issues Document (Brenda Herod) </w:t>
            </w:r>
          </w:p>
          <w:p>
            <w:pPr>
              <w:pStyle w:val="Header"/>
              <w:tabs>
                <w:tab w:val="clear" w:pos="4320"/>
                <w:tab w:val="clear" w:pos="8640"/>
              </w:tabs>
              <w:rPr>
                <w:rStyle w:val="EmailStyle20"/>
                <w:rFonts w:ascii="Times New Roman" w:hAnsi="Times New Roman" w:cs="Times New Roman"/>
                <w:color w:val="000000"/>
                <w:sz w:val="24"/>
                <w:szCs w:val="24"/>
              </w:rPr>
            </w:pPr>
            <w:r>
              <w:rPr/>
            </w:r>
          </w:p>
        </w:tc>
      </w:tr>
      <w:tr>
        <w:trPr/>
        <w:tc>
          <w:tcPr>
            <w:tcW w:w="2268" w:type="dxa"/>
            <w:tcBorders>
              <w:end w:val="single" w:sz="4" w:space="0" w:color="000000"/>
            </w:tcBorders>
          </w:tcPr>
          <w:p>
            <w:pPr>
              <w:pStyle w:val="Normal"/>
              <w:snapToGrid w:val="false"/>
              <w:rPr/>
            </w:pPr>
            <w:r>
              <w:rPr/>
            </w:r>
          </w:p>
        </w:tc>
        <w:tc>
          <w:tcPr>
            <w:tcW w:w="2700" w:type="dxa"/>
            <w:tcBorders>
              <w:start w:val="single" w:sz="4" w:space="0" w:color="000000"/>
              <w:end w:val="single" w:sz="4" w:space="0" w:color="000000"/>
            </w:tcBorders>
          </w:tcPr>
          <w:p>
            <w:pPr>
              <w:pStyle w:val="Normal"/>
              <w:numPr>
                <w:ilvl w:val="0"/>
                <w:numId w:val="7"/>
              </w:numPr>
              <w:rPr/>
            </w:pPr>
            <w:r>
              <w:rPr/>
              <w:t>Inquires Made</w:t>
            </w:r>
          </w:p>
        </w:tc>
        <w:tc>
          <w:tcPr>
            <w:tcW w:w="6048" w:type="dxa"/>
            <w:tcBorders>
              <w:start w:val="single" w:sz="4" w:space="0" w:color="000000"/>
            </w:tcBorders>
          </w:tcPr>
          <w:p>
            <w:pPr>
              <w:pStyle w:val="Normal"/>
              <w:numPr>
                <w:ilvl w:val="0"/>
                <w:numId w:val="7"/>
              </w:numPr>
              <w:rPr/>
            </w:pPr>
            <w:r>
              <w:rPr/>
              <w:t>Request for participation with IT (Anthony Dayao’s team).  Anthony welcomed our participation with his team and indicated that they really needed some helpRequest for Involvement with EWS Back office support initiatives</w:t>
            </w:r>
          </w:p>
          <w:p>
            <w:pPr>
              <w:pStyle w:val="Normal"/>
              <w:numPr>
                <w:ilvl w:val="0"/>
                <w:numId w:val="7"/>
              </w:numPr>
              <w:rPr/>
            </w:pPr>
            <w:r>
              <w:rPr/>
              <w:t xml:space="preserve">Requests to Gutenberg for project involvement </w:t>
            </w:r>
          </w:p>
          <w:p>
            <w:pPr>
              <w:pStyle w:val="Normal"/>
              <w:rPr/>
            </w:pPr>
            <w:r>
              <w:rPr/>
            </w:r>
          </w:p>
        </w:tc>
      </w:tr>
    </w:tbl>
    <w:p>
      <w:pPr>
        <w:pStyle w:val="Normal"/>
        <w:rPr>
          <w:b/>
          <w:bCs/>
        </w:rPr>
      </w:pPr>
      <w:r>
        <w:rPr>
          <w:b/>
          <w:bCs/>
        </w:rPr>
      </w:r>
    </w:p>
    <w:p>
      <w:pPr>
        <w:pStyle w:val="Normal"/>
        <w:rPr>
          <w:b/>
          <w:bCs/>
        </w:rPr>
      </w:pPr>
      <w:r>
        <w:rPr>
          <w:b/>
          <w:bCs/>
        </w:rPr>
      </w:r>
    </w:p>
    <w:p>
      <w:pPr>
        <w:pStyle w:val="Normal"/>
        <w:shd w:fill="99CCFF" w:val="clear"/>
        <w:rPr>
          <w:b/>
          <w:bCs/>
        </w:rPr>
      </w:pPr>
      <w:r>
        <w:rPr>
          <w:b/>
          <w:bCs/>
        </w:rPr>
        <w:t>Next Week Objectives:</w:t>
      </w:r>
    </w:p>
    <w:p>
      <w:pPr>
        <w:pStyle w:val="Normal"/>
        <w:rPr>
          <w:b/>
          <w:bCs/>
        </w:rPr>
      </w:pPr>
      <w:r>
        <w:rPr>
          <w:b/>
          <w:bCs/>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Action Item</w:t>
            </w:r>
          </w:p>
        </w:tc>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Deliverable</w:t>
            </w:r>
          </w:p>
        </w:tc>
      </w:tr>
      <w:tr>
        <w:trPr/>
        <w:tc>
          <w:tcPr>
            <w:tcW w:w="5508" w:type="dxa"/>
            <w:tcBorders>
              <w:top w:val="single" w:sz="4" w:space="0" w:color="000000"/>
              <w:end w:val="single" w:sz="4" w:space="0" w:color="000000"/>
            </w:tcBorders>
          </w:tcPr>
          <w:p>
            <w:pPr>
              <w:pStyle w:val="Normal"/>
              <w:rPr/>
            </w:pPr>
            <w:r>
              <w:rPr/>
              <w:t>Review of current documentation</w:t>
            </w:r>
          </w:p>
          <w:p>
            <w:pPr>
              <w:pStyle w:val="Normal"/>
              <w:numPr>
                <w:ilvl w:val="0"/>
                <w:numId w:val="2"/>
              </w:numPr>
              <w:rPr/>
            </w:pPr>
            <w:r>
              <w:rPr/>
              <w:t>Gutenberg  “Is” and “Should” be cross-functional process maps</w:t>
            </w:r>
          </w:p>
          <w:p>
            <w:pPr>
              <w:pStyle w:val="Normal"/>
              <w:numPr>
                <w:ilvl w:val="0"/>
                <w:numId w:val="2"/>
              </w:numPr>
              <w:rPr>
                <w:rStyle w:val="EmailStyle20"/>
                <w:rFonts w:ascii="Times New Roman" w:hAnsi="Times New Roman" w:cs="Times New Roman"/>
                <w:color w:val="000000"/>
                <w:sz w:val="24"/>
                <w:szCs w:val="24"/>
              </w:rPr>
            </w:pPr>
            <w:r>
              <w:rPr>
                <w:rStyle w:val="EmailStyle20"/>
              </w:rPr>
              <w:t>Gutenberg Calculation Engine Project – Phase I dated May 25, 2001.</w:t>
            </w:r>
          </w:p>
          <w:p>
            <w:pPr>
              <w:pStyle w:val="Normal"/>
              <w:numPr>
                <w:ilvl w:val="0"/>
                <w:numId w:val="2"/>
              </w:numPr>
              <w:rPr>
                <w:rStyle w:val="EmailStyle20"/>
                <w:rFonts w:ascii="Times New Roman" w:hAnsi="Times New Roman" w:cs="Times New Roman"/>
                <w:color w:val="000000"/>
                <w:sz w:val="24"/>
                <w:szCs w:val="24"/>
              </w:rPr>
            </w:pPr>
            <w:r>
              <w:rPr>
                <w:rStyle w:val="EmailStyle20"/>
              </w:rPr>
              <w:t xml:space="preserve">Hold discussion with Technology </w:t>
            </w:r>
          </w:p>
          <w:p>
            <w:pPr>
              <w:pStyle w:val="Normal"/>
              <w:rPr>
                <w:rStyle w:val="EmailStyle20"/>
              </w:rPr>
            </w:pPr>
            <w:r>
              <w:rPr/>
            </w:r>
          </w:p>
          <w:p>
            <w:pPr>
              <w:pStyle w:val="Normal"/>
              <w:rPr>
                <w:rStyle w:val="EmailStyle20"/>
              </w:rPr>
            </w:pPr>
            <w:r>
              <w:rPr/>
            </w:r>
          </w:p>
          <w:p>
            <w:pPr>
              <w:pStyle w:val="Normal"/>
              <w:numPr>
                <w:ilvl w:val="0"/>
                <w:numId w:val="2"/>
              </w:numPr>
              <w:rPr/>
            </w:pPr>
            <w:r>
              <w:rPr/>
              <w:t xml:space="preserve">Work on new VMS System.  </w:t>
            </w:r>
          </w:p>
        </w:tc>
        <w:tc>
          <w:tcPr>
            <w:tcW w:w="5508" w:type="dxa"/>
            <w:tcBorders>
              <w:top w:val="single" w:sz="4" w:space="0" w:color="000000"/>
              <w:start w:val="single" w:sz="4" w:space="0" w:color="000000"/>
            </w:tcBorders>
          </w:tcPr>
          <w:p>
            <w:pPr>
              <w:pStyle w:val="Normal"/>
              <w:snapToGrid w:val="false"/>
              <w:rPr/>
            </w:pPr>
            <w:r>
              <w:rPr/>
            </w:r>
          </w:p>
          <w:p>
            <w:pPr>
              <w:pStyle w:val="Normal"/>
              <w:numPr>
                <w:ilvl w:val="0"/>
                <w:numId w:val="2"/>
              </w:numPr>
              <w:rPr/>
            </w:pPr>
            <w:r>
              <w:rPr/>
              <w:t>Determine true deliverables and focus areas provide input into gap analysis.</w:t>
            </w:r>
          </w:p>
          <w:p>
            <w:pPr>
              <w:pStyle w:val="Normal"/>
              <w:numPr>
                <w:ilvl w:val="0"/>
                <w:numId w:val="2"/>
              </w:numPr>
              <w:rPr/>
            </w:pPr>
            <w:r>
              <w:rPr/>
              <w:t>Determine true deliverables and focus areas provide input into gap analysis.</w:t>
            </w:r>
          </w:p>
          <w:p>
            <w:pPr>
              <w:pStyle w:val="Normal"/>
              <w:numPr>
                <w:ilvl w:val="0"/>
                <w:numId w:val="2"/>
              </w:numPr>
              <w:rPr>
                <w:rStyle w:val="EmailStyle20"/>
                <w:rFonts w:ascii="Times New Roman" w:hAnsi="Times New Roman" w:cs="Times New Roman"/>
                <w:color w:val="000000"/>
                <w:sz w:val="24"/>
                <w:szCs w:val="24"/>
              </w:rPr>
            </w:pPr>
            <w:r>
              <w:rPr/>
              <w:t xml:space="preserve">Review </w:t>
            </w:r>
            <w:r>
              <w:rPr>
                <w:rStyle w:val="EmailStyle20"/>
              </w:rPr>
              <w:t>current project lists and determine missing requirements road blocks.  Also Identify true focus area for IT.  Resource effort % Tactical and % Strategic.</w:t>
            </w:r>
          </w:p>
          <w:p>
            <w:pPr>
              <w:pStyle w:val="Normal"/>
              <w:numPr>
                <w:ilvl w:val="0"/>
                <w:numId w:val="2"/>
              </w:numPr>
              <w:rPr/>
            </w:pPr>
            <w:r>
              <w:rPr>
                <w:rStyle w:val="EmailStyle20"/>
              </w:rPr>
              <w:t>System Production Go-Live is schedule for July 9</w:t>
            </w:r>
            <w:r>
              <w:rPr>
                <w:rStyle w:val="EmailStyle20"/>
                <w:vertAlign w:val="superscript"/>
              </w:rPr>
              <w:t>th</w:t>
            </w:r>
          </w:p>
        </w:tc>
      </w:tr>
      <w:tr>
        <w:trPr/>
        <w:tc>
          <w:tcPr>
            <w:tcW w:w="5508" w:type="dxa"/>
            <w:tcBorders>
              <w:end w:val="single" w:sz="4" w:space="0" w:color="000000"/>
            </w:tcBorders>
          </w:tcPr>
          <w:p>
            <w:pPr>
              <w:pStyle w:val="Normal"/>
              <w:snapToGrid w:val="false"/>
              <w:rPr/>
            </w:pPr>
            <w:r>
              <w:rPr/>
            </w:r>
          </w:p>
        </w:tc>
        <w:tc>
          <w:tcPr>
            <w:tcW w:w="5508" w:type="dxa"/>
            <w:tcBorders>
              <w:start w:val="single" w:sz="4" w:space="0" w:color="000000"/>
            </w:tcBorders>
          </w:tcPr>
          <w:p>
            <w:pPr>
              <w:pStyle w:val="Normal"/>
              <w:snapToGrid w:val="false"/>
              <w:rPr/>
            </w:pPr>
            <w:r>
              <w:rPr/>
            </w:r>
          </w:p>
        </w:tc>
      </w:tr>
      <w:tr>
        <w:trPr/>
        <w:tc>
          <w:tcPr>
            <w:tcW w:w="5508" w:type="dxa"/>
            <w:tcBorders>
              <w:end w:val="single" w:sz="4" w:space="0" w:color="000000"/>
            </w:tcBorders>
          </w:tcPr>
          <w:p>
            <w:pPr>
              <w:pStyle w:val="Normal"/>
              <w:snapToGrid w:val="false"/>
              <w:rPr/>
            </w:pPr>
            <w:r>
              <w:rPr/>
            </w:r>
          </w:p>
        </w:tc>
        <w:tc>
          <w:tcPr>
            <w:tcW w:w="5508" w:type="dxa"/>
            <w:tcBorders>
              <w:start w:val="single" w:sz="4" w:space="0" w:color="000000"/>
            </w:tcBorders>
          </w:tcPr>
          <w:p>
            <w:pPr>
              <w:pStyle w:val="Normal"/>
              <w:snapToGrid w:val="false"/>
              <w:rPr/>
            </w:pPr>
            <w:r>
              <w:rPr/>
            </w:r>
          </w:p>
        </w:tc>
      </w:tr>
      <w:tr>
        <w:trPr/>
        <w:tc>
          <w:tcPr>
            <w:tcW w:w="5508" w:type="dxa"/>
            <w:tcBorders>
              <w:end w:val="single" w:sz="4" w:space="0" w:color="000000"/>
            </w:tcBorders>
          </w:tcPr>
          <w:p>
            <w:pPr>
              <w:pStyle w:val="Normal"/>
              <w:snapToGrid w:val="false"/>
              <w:rPr/>
            </w:pPr>
            <w:r>
              <w:rPr/>
            </w:r>
          </w:p>
        </w:tc>
        <w:tc>
          <w:tcPr>
            <w:tcW w:w="5508" w:type="dxa"/>
            <w:tcBorders>
              <w:start w:val="single" w:sz="4" w:space="0" w:color="000000"/>
            </w:tcBorders>
          </w:tcPr>
          <w:p>
            <w:pPr>
              <w:pStyle w:val="Normal"/>
              <w:snapToGrid w:val="false"/>
              <w:rPr/>
            </w:pPr>
            <w:r>
              <w:rPr/>
            </w:r>
          </w:p>
        </w:tc>
      </w:tr>
      <w:tr>
        <w:trPr/>
        <w:tc>
          <w:tcPr>
            <w:tcW w:w="5508" w:type="dxa"/>
            <w:tcBorders>
              <w:end w:val="single" w:sz="4" w:space="0" w:color="000000"/>
            </w:tcBorders>
          </w:tcPr>
          <w:p>
            <w:pPr>
              <w:pStyle w:val="Normal"/>
              <w:snapToGrid w:val="false"/>
              <w:rPr/>
            </w:pPr>
            <w:r>
              <w:rPr/>
            </w:r>
          </w:p>
        </w:tc>
        <w:tc>
          <w:tcPr>
            <w:tcW w:w="5508" w:type="dxa"/>
            <w:tcBorders>
              <w:start w:val="single" w:sz="4" w:space="0" w:color="000000"/>
            </w:tcBorders>
          </w:tcPr>
          <w:p>
            <w:pPr>
              <w:pStyle w:val="Normal"/>
              <w:snapToGrid w:val="false"/>
              <w:rPr/>
            </w:pPr>
            <w:r>
              <w:rPr/>
            </w:r>
          </w:p>
        </w:tc>
      </w:tr>
    </w:tbl>
    <w:p>
      <w:pPr>
        <w:pStyle w:val="Normal"/>
        <w:rPr/>
      </w:pPr>
      <w:r>
        <w:rPr/>
      </w:r>
    </w:p>
    <w:p>
      <w:pPr>
        <w:pStyle w:val="Normal"/>
        <w:rPr/>
      </w:pPr>
      <w:r>
        <w:rPr/>
      </w:r>
    </w:p>
    <w:p>
      <w:pPr>
        <w:pStyle w:val="Normal"/>
        <w:shd w:fill="99CCFF" w:val="clear"/>
        <w:rPr>
          <w:b/>
          <w:bCs/>
        </w:rPr>
      </w:pPr>
      <w:r>
        <w:rPr>
          <w:b/>
          <w:bCs/>
        </w:rPr>
        <w:t>Major Discussion Items:</w:t>
      </w:r>
    </w:p>
    <w:p>
      <w:pPr>
        <w:pStyle w:val="Normal"/>
        <w:rPr>
          <w:b/>
          <w:bCs/>
        </w:rPr>
      </w:pPr>
      <w:r>
        <w:rPr>
          <w:b/>
          <w:bCs/>
        </w:rPr>
      </w:r>
    </w:p>
    <w:tbl>
      <w:tblPr>
        <w:tblW w:w="11016" w:type="dxa"/>
        <w:jc w:val="start"/>
        <w:tblInd w:w="0" w:type="dxa"/>
        <w:tblLayout w:type="fixed"/>
        <w:tblCellMar>
          <w:top w:w="0" w:type="dxa"/>
          <w:start w:w="108" w:type="dxa"/>
          <w:bottom w:w="0" w:type="dxa"/>
          <w:end w:w="108" w:type="dxa"/>
        </w:tblCellMar>
      </w:tblPr>
      <w:tblGrid>
        <w:gridCol w:w="3168"/>
        <w:gridCol w:w="7848"/>
      </w:tblGrid>
      <w:tr>
        <w:trPr/>
        <w:tc>
          <w:tcPr>
            <w:tcW w:w="31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bCs/>
              </w:rPr>
            </w:pPr>
            <w:r>
              <w:rPr>
                <w:b/>
                <w:bCs/>
              </w:rPr>
              <w:t>Issue</w:t>
            </w:r>
          </w:p>
        </w:tc>
        <w:tc>
          <w:tcPr>
            <w:tcW w:w="784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Comments</w:t>
            </w:r>
          </w:p>
        </w:tc>
      </w:tr>
      <w:tr>
        <w:trPr/>
        <w:tc>
          <w:tcPr>
            <w:tcW w:w="3168" w:type="dxa"/>
            <w:tcBorders>
              <w:top w:val="single" w:sz="4" w:space="0" w:color="000000"/>
              <w:end w:val="single" w:sz="4" w:space="0" w:color="000000"/>
            </w:tcBorders>
          </w:tcPr>
          <w:p>
            <w:pPr>
              <w:pStyle w:val="Normal"/>
              <w:rPr/>
            </w:pPr>
            <w:r>
              <w:rPr/>
              <w:t>Lack of coordination</w:t>
            </w:r>
          </w:p>
        </w:tc>
        <w:tc>
          <w:tcPr>
            <w:tcW w:w="7848" w:type="dxa"/>
            <w:tcBorders>
              <w:top w:val="single" w:sz="4" w:space="0" w:color="000000"/>
              <w:start w:val="single" w:sz="4" w:space="0" w:color="000000"/>
            </w:tcBorders>
          </w:tcPr>
          <w:p>
            <w:pPr>
              <w:pStyle w:val="Normal"/>
              <w:numPr>
                <w:ilvl w:val="0"/>
                <w:numId w:val="3"/>
              </w:numPr>
              <w:rPr/>
            </w:pPr>
            <w:r>
              <w:rPr/>
              <w:t>Communication of efforts currently under way.  Coordination of communication is very important at this point in the transition of EES’s Business.  I attempted to start some of that communication by sending out a request last week to have Chris Stokley and myself added to all distribution list, meeting schedules associated with Beth Appolo’s world (EWS Transaction Support).</w:t>
            </w:r>
          </w:p>
          <w:p>
            <w:pPr>
              <w:pStyle w:val="Normal"/>
              <w:numPr>
                <w:ilvl w:val="0"/>
                <w:numId w:val="3"/>
              </w:numPr>
              <w:rPr/>
            </w:pPr>
            <w:r>
              <w:rPr/>
              <w:t>I also had a couple of meetings with key people in Sally’s organization indicating my concerns regarding duplicating efforts and everyone’s true understanding of the activities currently under way.</w:t>
            </w:r>
          </w:p>
          <w:p>
            <w:pPr>
              <w:pStyle w:val="Header"/>
              <w:tabs>
                <w:tab w:val="clear" w:pos="4320"/>
                <w:tab w:val="clear" w:pos="8640"/>
              </w:tabs>
              <w:rPr/>
            </w:pPr>
            <w:r>
              <w:rPr/>
              <w:t xml:space="preserve"> </w:t>
            </w:r>
          </w:p>
        </w:tc>
      </w:tr>
      <w:tr>
        <w:trPr/>
        <w:tc>
          <w:tcPr>
            <w:tcW w:w="3168" w:type="dxa"/>
            <w:tcBorders>
              <w:end w:val="single" w:sz="4" w:space="0" w:color="000000"/>
            </w:tcBorders>
          </w:tcPr>
          <w:p>
            <w:pPr>
              <w:pStyle w:val="Normal"/>
              <w:rPr/>
            </w:pPr>
            <w:r>
              <w:rPr/>
              <w:t>Lack of consensus</w:t>
            </w:r>
          </w:p>
        </w:tc>
        <w:tc>
          <w:tcPr>
            <w:tcW w:w="7848" w:type="dxa"/>
            <w:tcBorders>
              <w:start w:val="single" w:sz="4" w:space="0" w:color="000000"/>
            </w:tcBorders>
          </w:tcPr>
          <w:p>
            <w:pPr>
              <w:pStyle w:val="Normal"/>
              <w:numPr>
                <w:ilvl w:val="0"/>
                <w:numId w:val="6"/>
              </w:numPr>
              <w:rPr/>
            </w:pPr>
            <w:r>
              <w:rPr/>
              <w:t>Objectives of efforts currently under way</w:t>
            </w:r>
          </w:p>
          <w:p>
            <w:pPr>
              <w:pStyle w:val="Normal"/>
              <w:numPr>
                <w:ilvl w:val="0"/>
                <w:numId w:val="6"/>
              </w:numPr>
              <w:rPr/>
            </w:pPr>
            <w:r>
              <w:rPr/>
              <w:t>Deliverables of each effort currently under way</w:t>
            </w:r>
          </w:p>
          <w:p>
            <w:pPr>
              <w:pStyle w:val="Normal"/>
              <w:numPr>
                <w:ilvl w:val="0"/>
                <w:numId w:val="6"/>
              </w:numPr>
              <w:rPr/>
            </w:pPr>
            <w:r>
              <w:rPr/>
              <w:t>Ownership of each effort currently under way</w:t>
            </w:r>
          </w:p>
          <w:p>
            <w:pPr>
              <w:pStyle w:val="Normal"/>
              <w:numPr>
                <w:ilvl w:val="0"/>
                <w:numId w:val="6"/>
              </w:numPr>
              <w:rPr/>
            </w:pPr>
            <w:r>
              <w:rPr/>
              <w:t>Communication Requirements</w:t>
            </w:r>
          </w:p>
          <w:p>
            <w:pPr>
              <w:pStyle w:val="Normal"/>
              <w:numPr>
                <w:ilvl w:val="0"/>
                <w:numId w:val="6"/>
              </w:numPr>
              <w:rPr/>
            </w:pPr>
            <w:r>
              <w:rPr/>
              <w:t>Roles and Responsibilities of  commercial resources and back office resources.  (Who is doing what and why)</w:t>
            </w:r>
          </w:p>
        </w:tc>
      </w:tr>
      <w:tr>
        <w:trPr/>
        <w:tc>
          <w:tcPr>
            <w:tcW w:w="3168" w:type="dxa"/>
            <w:tcBorders>
              <w:end w:val="single" w:sz="4" w:space="0" w:color="000000"/>
            </w:tcBorders>
          </w:tcPr>
          <w:p>
            <w:pPr>
              <w:pStyle w:val="Normal"/>
              <w:rPr/>
            </w:pPr>
            <w:r>
              <w:rPr/>
              <w:t>Misc. Comments</w:t>
            </w:r>
          </w:p>
        </w:tc>
        <w:tc>
          <w:tcPr>
            <w:tcW w:w="7848" w:type="dxa"/>
            <w:tcBorders>
              <w:start w:val="single" w:sz="4" w:space="0" w:color="000000"/>
            </w:tcBorders>
          </w:tcPr>
          <w:p>
            <w:pPr>
              <w:pStyle w:val="Normal"/>
              <w:numPr>
                <w:ilvl w:val="0"/>
                <w:numId w:val="4"/>
              </w:numPr>
              <w:rPr/>
            </w:pPr>
            <w:r>
              <w:rPr/>
              <w:t xml:space="preserve">While the activities performed this past week and targeted for next week were not specific to determining a tactical solution for East and West and determine the appropriate pilot.  The transition efforts have been under way for about 6 weeks now and it will take me a couple of weeks to catch up.  </w:t>
            </w:r>
          </w:p>
        </w:tc>
      </w:tr>
    </w:tbl>
    <w:p>
      <w:pPr>
        <w:pStyle w:val="Normal"/>
        <w:rPr/>
      </w:pPr>
      <w:r>
        <w:rPr/>
      </w:r>
    </w:p>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5148"/>
      <w:gridCol w:w="1260"/>
      <w:gridCol w:w="4500"/>
    </w:tblGrid>
    <w:tr>
      <w:trPr/>
      <w:tc>
        <w:tcPr>
          <w:tcW w:w="5148" w:type="dxa"/>
          <w:tcBorders/>
        </w:tcPr>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/mnt/main-storage/datasets/enron-docs/doc/Stat063001.doc</w:t>
          </w:r>
          <w:r>
            <w:rPr>
              <w:sz w:val="20"/>
            </w:rPr>
            <w:fldChar w:fldCharType="end"/>
          </w:r>
        </w:p>
      </w:tc>
      <w:tc>
        <w:tcPr>
          <w:tcW w:w="1260" w:type="dxa"/>
          <w:tcBorders/>
        </w:tcPr>
        <w:p>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c>
        <w:tcPr>
          <w:tcW w:w="4500" w:type="dxa"/>
          <w:tcBorders/>
        </w:tcPr>
        <w:p>
          <w:pPr>
            <w:pStyle w:val="Foot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 xml:space="preserve">  </w:t>
          </w:r>
          <w:r>
            <w:rPr>
              <w:sz w:val="20"/>
            </w:rPr>
            <w:fldChar w:fldCharType="begin"/>
          </w:r>
          <w:r>
            <w:rPr>
              <w:sz w:val="20"/>
            </w:rPr>
            <w:instrText xml:space="preserve"> TIME \@"H:mm\ AM/PM" </w:instrText>
          </w:r>
          <w:r>
            <w:rPr>
              <w:sz w:val="20"/>
            </w:rPr>
            <w:fldChar w:fldCharType="separate"/>
          </w:r>
          <w:r>
            <w:rPr>
              <w:sz w:val="20"/>
            </w:rPr>
            <w:t>9:17 AM</w:t>
          </w:r>
          <w:r>
            <w:rPr>
              <w:sz w:val="20"/>
            </w:rPr>
            <w:fldChar w:fldCharType="end"/>
          </w:r>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EES Transition, Weekly Status Update</w:t>
    </w:r>
  </w:p>
  <w:p>
    <w:pPr>
      <w:pStyle w:val="Header"/>
      <w:jc w:val="center"/>
      <w:rPr/>
    </w:pPr>
    <w:r>
      <w:rPr/>
      <w:t>For Murray O’Neil Week Ending - 06/30/2001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2001-06-28T22:25:00Z</dcterms:created>
  <dc:creator>moneil</dc:creator>
  <dc:description/>
  <dc:language>en-CA</dc:language>
  <cp:lastModifiedBy>moneil</cp:lastModifiedBy>
  <cp:lastPrinted>2001-07-03T09:54:00Z</cp:lastPrinted>
  <dcterms:modified xsi:type="dcterms:W3CDTF">2001-07-03T18:05:00Z</dcterms:modified>
  <cp:revision>20</cp:revision>
  <dc:subject/>
  <dc:title/>
</cp:coreProperties>
</file>