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Enron Power Marketing, Inc.</w:t>
      </w:r>
    </w:p>
    <w:p>
      <w:pPr>
        <w:pStyle w:val="Normal"/>
        <w:widowControl w:val="false"/>
        <w:jc w:val="center"/>
        <w:rPr>
          <w:rFonts w:ascii="Arial" w:hAnsi="Arial" w:cs="Arial"/>
        </w:rPr>
      </w:pPr>
      <w:r>
        <w:rPr>
          <w:rFonts w:cs="Arial" w:ascii="Arial" w:hAnsi="Arial"/>
        </w:rPr>
        <w:t>1400 Smith Street</w:t>
      </w:r>
    </w:p>
    <w:p>
      <w:pPr>
        <w:pStyle w:val="Normal"/>
        <w:widowControl w:val="false"/>
        <w:jc w:val="center"/>
        <w:rPr>
          <w:rFonts w:ascii="Arial" w:hAnsi="Arial" w:cs="Arial"/>
        </w:rPr>
      </w:pPr>
      <w:r>
        <w:rPr>
          <w:rFonts w:cs="Arial" w:ascii="Arial" w:hAnsi="Arial"/>
        </w:rPr>
        <w:t>Houston, Texas 77002</w:t>
      </w:r>
    </w:p>
    <w:p>
      <w:pPr>
        <w:pStyle w:val="Normal"/>
        <w:widowControl w:val="false"/>
        <w:rPr>
          <w:rFonts w:ascii="Arial" w:hAnsi="Arial" w:cs="Arial"/>
        </w:rPr>
      </w:pPr>
      <w:r>
        <w:rPr>
          <w:rFonts w:cs="Arial" w:ascii="Arial" w:hAnsi="Arial"/>
        </w:rPr>
      </w:r>
    </w:p>
    <w:p>
      <w:pPr>
        <w:pStyle w:val="Normal"/>
        <w:widowControl w:val="false"/>
        <w:rPr>
          <w:rFonts w:ascii="Arial" w:hAnsi="Arial" w:cs="Arial"/>
          <w:b/>
          <w:u w:val="single"/>
        </w:rPr>
      </w:pPr>
      <w:r>
        <w:rPr>
          <w:rFonts w:cs="Arial" w:ascii="Arial" w:hAnsi="Arial"/>
          <w:b/>
          <w:u w:val="single"/>
        </w:rPr>
        <w:t>VIA FACSIMILE</w:t>
      </w:r>
    </w:p>
    <w:p>
      <w:pPr>
        <w:pStyle w:val="Normal"/>
        <w:widowControl w:val="false"/>
        <w:rPr>
          <w:rFonts w:ascii="Arial" w:hAnsi="Arial" w:cs="Arial"/>
          <w:b/>
          <w:u w:val="single"/>
        </w:rPr>
      </w:pPr>
      <w:r>
        <w:rPr>
          <w:rFonts w:cs="Arial" w:ascii="Arial" w:hAnsi="Arial"/>
          <w:b/>
          <w:u w:val="single"/>
        </w:rPr>
      </w:r>
    </w:p>
    <w:p>
      <w:pPr>
        <w:pStyle w:val="Normal"/>
        <w:widowControl w:val="false"/>
        <w:rPr>
          <w:rFonts w:ascii="Arial" w:hAnsi="Arial" w:cs="Arial"/>
        </w:rPr>
      </w:pPr>
      <w:r>
        <w:rPr>
          <w:rFonts w:cs="Arial" w:ascii="Arial" w:hAnsi="Arial"/>
        </w:rPr>
        <w:t>_______, 2001</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Pacific Gas &amp; Electric Company</w:t>
      </w:r>
    </w:p>
    <w:p>
      <w:pPr>
        <w:pStyle w:val="Normal"/>
        <w:widowControl w:val="false"/>
        <w:rPr>
          <w:rFonts w:ascii="Arial" w:hAnsi="Arial" w:cs="Arial"/>
        </w:rPr>
      </w:pPr>
      <w:r>
        <w:rPr>
          <w:rFonts w:cs="Arial" w:ascii="Arial" w:hAnsi="Arial"/>
        </w:rPr>
        <w:t>77 Beale Street</w:t>
      </w:r>
    </w:p>
    <w:p>
      <w:pPr>
        <w:pStyle w:val="Normal"/>
        <w:widowControl w:val="false"/>
        <w:rPr>
          <w:rFonts w:ascii="Arial" w:hAnsi="Arial" w:cs="Arial"/>
        </w:rPr>
      </w:pPr>
      <w:r>
        <w:rPr>
          <w:rFonts w:cs="Arial" w:ascii="Arial" w:hAnsi="Arial"/>
        </w:rPr>
        <w:t>San Francisco, CA</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Attention: </w:t>
      </w:r>
      <w:r>
        <w:rPr>
          <w:rFonts w:cs="Arial" w:ascii="Arial" w:hAnsi="Arial"/>
          <w:u w:val="single"/>
        </w:rPr>
        <w:t>[                  and Lawrence C. Witalis]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widowControl w:val="false"/>
        <w:ind w:start="720" w:end="0"/>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Dear Sirs: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Under each of the Contracts, once the non-defaulting party, in this case Enron, furnishes the calculations of the termination payments, the defaulting party, in this case PG&amp;E, is obligated to notify the non-defaulting party within a specified time frame whether it disagrees with the non-defaulting party's termination value calculations.  For example, under Section 5.5 of the MPA, PG&amp;E (as the defaulting party due to its bankruptcy) is obligated to furnish EPMI within 2 business days of receipt of EPMI's calculations a detailed explanation of any dispute it may have with Enron's termination payment calculations.  The other Contracts provide for different time periods by which the defaulting party must respond to the non-defaulting party's calculations.</w:t>
      </w:r>
    </w:p>
    <w:p>
      <w:pPr>
        <w:pStyle w:val="Normal"/>
        <w:widowControl w:val="false"/>
        <w:rPr>
          <w:rFonts w:ascii="Arial" w:hAnsi="Arial" w:cs="Arial"/>
        </w:rPr>
      </w:pPr>
      <w:r>
        <w:rPr>
          <w:rFonts w:cs="Arial" w:ascii="Arial" w:hAnsi="Arial"/>
        </w:rPr>
      </w:r>
    </w:p>
    <w:p>
      <w:pPr>
        <w:pStyle w:val="Normal"/>
        <w:widowControl w:val="false"/>
        <w:rPr/>
      </w:pPr>
      <w:r>
        <w:rPr>
          <w:rFonts w:cs="Arial" w:ascii="Arial" w:hAnsi="Arial"/>
        </w:rPr>
        <w:tab/>
        <w:tab/>
        <w:t>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[May 25,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widowControl w:val="false"/>
        <w:rPr>
          <w:rFonts w:ascii="Arial" w:hAnsi="Arial" w:cs="Arial"/>
        </w:rPr>
      </w:pPr>
      <w:r>
        <w:rPr>
          <w:rFonts w:cs="Arial" w:ascii="Arial" w:hAnsi="Arial"/>
        </w:rPr>
      </w:r>
    </w:p>
    <w:p>
      <w:pPr>
        <w:pStyle w:val="Normal"/>
        <w:widowControl w:val="false"/>
        <w:rPr/>
      </w:pPr>
      <w:r>
        <w:rPr>
          <w:rFonts w:cs="Arial" w:ascii="Arial" w:hAnsi="Arial"/>
        </w:rPr>
        <w:tab/>
        <w:tab/>
        <w:t xml:space="preserve">During the Initial Extension Period, Enron agrees to maintain in full force and effect for the benefit of PG&amp;E all five letters of credit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to assure payment by Enron of the termination payment, if any, due from it to PG&amp;E under the MPA.  In the event that the Settlement Discussions have not resulted in the execution of a Settlement Agreement by </w:t>
      </w:r>
      <w:r>
        <w:rPr>
          <w:rFonts w:cs="Arial" w:ascii="Arial" w:hAnsi="Arial"/>
          <w:b/>
        </w:rPr>
        <w:t>[May 15, 2001]</w:t>
      </w:r>
      <w:r>
        <w:rPr>
          <w:rFonts w:cs="Arial" w:ascii="Arial" w:hAnsi="Arial"/>
        </w:rPr>
        <w:t xml:space="preserve">, but the Parties are continuing to negotiate in good faith with respect thereto, Enron agrees to extend for a period of no less than __ days any letter of credit that shall be due to expire within __ days after the end of the Initial Extension Period and Enron shall promptly provide PG&amp;E with confirmation of such extension.  In the event that the Parties successfully conclude a Settlement Agreement and such agreement is submitted to the Bankruptcy Court for approval, the Parties anticipate that (1) such Settlement Agreement will include a provision requiring the maintenance of letters of credit by Enron during the period the Parties are awaiting Bankruptcy Court approval and (2) the aggregate amount of the letters of credit will be reduced, as mutually agreed by the Parties, to more closely match the agreed-upon amount of the settlement amount due from Enron.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In the event, for any reason, the Parties cannot reach closure on a Settlement Agreement, or any such Settlement Agreement is agreed to by the Parties but ultimately is not approved without modification by the Bankruptcy Court, and thereafter PG&amp;E issues to Enron a Dispute Notice under the MPA, PG&amp;E shall not make, or cause to be made, a draw under the letters of credit securing Enron's payment obligation under the MPA until (1) the amount of the applicable termination payment due to PG&amp;E has been finally determined pursuant to the terms of the MPA and (2) Enron shall have failed to make payment required by it pursuant to Section 5.4, subject to Section 10.12.</w:t>
      </w:r>
    </w:p>
    <w:p>
      <w:pPr>
        <w:pStyle w:val="Normal"/>
        <w:widowControl w:val="false"/>
        <w:rPr>
          <w:rFonts w:ascii="Arial" w:hAnsi="Arial" w:cs="Arial"/>
        </w:rPr>
      </w:pPr>
      <w:r>
        <w:rPr>
          <w:rFonts w:cs="Arial" w:ascii="Arial" w:hAnsi="Arial"/>
        </w:rPr>
      </w:r>
    </w:p>
    <w:p>
      <w:pPr>
        <w:pStyle w:val="Normal"/>
        <w:widowControl w:val="false"/>
        <w:rPr>
          <w:rFonts w:ascii="Arial" w:hAnsi="Arial" w:cs="Arial"/>
          <w:b/>
        </w:rPr>
      </w:pPr>
      <w:r>
        <w:rPr>
          <w:rFonts w:cs="Arial" w:ascii="Arial" w:hAnsi="Arial"/>
        </w:rPr>
        <w:tab/>
        <w:tab/>
        <w:t>The Parties further acknowledge that, in connection with the Parties' desire to attempt to negotiate the terms of a Settlement Agreement, the Parties anticipate that they will simultaneously commence negotiations concerning new master gas purchase and sale agreements pursuant to which ENA and EEC, respectively, would sell and PG&amp;E would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widowControl w:val="false"/>
        <w:rPr>
          <w:rFonts w:ascii="Arial" w:hAnsi="Arial" w:cs="Arial"/>
          <w:b/>
        </w:rPr>
      </w:pPr>
      <w:r>
        <w:rPr>
          <w:rFonts w:cs="Arial" w:ascii="Arial" w:hAnsi="Arial"/>
          <w:b/>
        </w:rPr>
      </w:r>
    </w:p>
    <w:p>
      <w:pPr>
        <w:pStyle w:val="Normal"/>
        <w:widowControl w:val="false"/>
        <w:rPr>
          <w:rFonts w:ascii="Arial" w:hAnsi="Arial" w:cs="Arial"/>
          <w:b/>
        </w:rPr>
      </w:pPr>
      <w:r>
        <w:rPr>
          <w:rFonts w:cs="Arial" w:ascii="Arial" w:hAnsi="Arial"/>
          <w:b/>
        </w:rPr>
      </w:r>
    </w:p>
    <w:p>
      <w:pPr>
        <w:pStyle w:val="Normal"/>
        <w:widowControl w:val="false"/>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Yours truly,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William  Bradford</w:t>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rPr/>
      </w:pPr>
      <w:r>
        <w:rPr>
          <w:rFonts w:cs="Arial" w:ascii="Arial" w:hAnsi="Arial"/>
          <w:color w:val="000000"/>
          <w:u w:val="single"/>
        </w:rPr>
        <w:t>AGREED AND ACCEPTED</w:t>
      </w:r>
      <w:r>
        <w:rPr>
          <w:rFonts w:cs="Arial" w:ascii="Arial" w:hAnsi="Arial"/>
          <w:color w:val="000000"/>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Pacific Gas &amp; Electric Company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By:</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Title: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widowControl w:val="false"/>
        <w:ind w:hanging="810" w:end="0"/>
        <w:rPr>
          <w:rFonts w:ascii="Arial" w:hAnsi="Arial" w:cs="Arial"/>
          <w:color w:val="000000"/>
        </w:rPr>
      </w:pPr>
      <w:r>
        <w:rPr>
          <w:rFonts w:cs="Arial" w:ascii="Arial" w:hAnsi="Arial"/>
          <w:color w:val="000000"/>
        </w:rPr>
        <w:t>cc:</w:t>
        <w:tab/>
        <w:t>[PGE People]</w:t>
      </w:r>
    </w:p>
    <w:p>
      <w:pPr>
        <w:pStyle w:val="Normal"/>
        <w:rPr>
          <w:rFonts w:ascii="Arial" w:hAnsi="Arial" w:cs="Arial"/>
          <w:color w:val="000000"/>
        </w:rPr>
      </w:pPr>
      <w:r>
        <w:rPr>
          <w:rFonts w:cs="Arial" w:ascii="Arial" w:hAnsi="Arial"/>
          <w:color w:val="000000"/>
        </w:rPr>
        <w:t>Michael Tribolet (Enron)</w:t>
      </w:r>
    </w:p>
    <w:p>
      <w:pPr>
        <w:pStyle w:val="Normal"/>
        <w:rPr>
          <w:rFonts w:ascii="Arial" w:hAnsi="Arial" w:cs="Arial"/>
          <w:color w:val="000000"/>
        </w:rPr>
      </w:pPr>
      <w:r>
        <w:rPr>
          <w:rFonts w:cs="Arial" w:ascii="Arial" w:hAnsi="Arial"/>
          <w:color w:val="000000"/>
        </w:rPr>
        <w:t>Elizabeth Sager (Enron)</w:t>
      </w:r>
    </w:p>
    <w:p>
      <w:pPr>
        <w:pStyle w:val="Normal"/>
        <w:rPr>
          <w:rFonts w:ascii="Arial" w:hAnsi="Arial" w:cs="Arial"/>
          <w:color w:val="000000"/>
        </w:rPr>
      </w:pPr>
      <w:r>
        <w:rPr>
          <w:rFonts w:cs="Arial" w:ascii="Arial" w:hAnsi="Arial"/>
          <w:color w:val="000000"/>
        </w:rPr>
        <w:t>Lisa Mellencamp (Enron)</w:t>
      </w:r>
    </w:p>
    <w:p>
      <w:pPr>
        <w:pStyle w:val="Normal"/>
        <w:rPr>
          <w:rFonts w:ascii="Arial" w:hAnsi="Arial" w:cs="Arial"/>
          <w:color w:val="000000"/>
        </w:rPr>
      </w:pPr>
      <w:r>
        <w:rPr>
          <w:rFonts w:cs="Arial" w:ascii="Arial" w:hAnsi="Arial"/>
          <w:color w:val="000000"/>
        </w:rPr>
        <w:t>James Lopes (Howard et al)</w:t>
      </w:r>
    </w:p>
    <w:p>
      <w:pPr>
        <w:pStyle w:val="Normal"/>
        <w:rPr>
          <w:rFonts w:ascii="Arial" w:hAnsi="Arial" w:cs="Arial"/>
          <w:color w:val="000000"/>
        </w:rPr>
      </w:pPr>
      <w:r>
        <w:rPr>
          <w:rFonts w:cs="Arial" w:ascii="Arial" w:hAnsi="Arial"/>
          <w:color w:val="000000"/>
        </w:rPr>
        <w:t>John Klauberg (LeBoeuf, Lamb)</w:t>
      </w:r>
    </w:p>
    <w:p>
      <w:pPr>
        <w:pStyle w:val="Normal"/>
        <w:rPr>
          <w:rFonts w:ascii="Arial" w:hAnsi="Arial" w:cs="Arial"/>
          <w:color w:val="000000"/>
        </w:rPr>
      </w:pPr>
      <w:r>
        <w:rPr>
          <w:rFonts w:cs="Arial" w:ascii="Arial" w:hAnsi="Arial"/>
          <w:color w:val="000000"/>
        </w:rPr>
        <w:t>Bennett Young (LeBoeuf, Lamb)</w:t>
      </w:r>
    </w:p>
    <w:p>
      <w:pPr>
        <w:pStyle w:val="Norma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4/30/01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z w:val="24"/>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2001-04-28T16:05:00Z</dcterms:created>
  <dc:creator>A Valued Microsoft Customer</dc:creator>
  <dc:description/>
  <cp:keywords>NYC 377777.2 02618 00125 4/26/2001  10:46 PM</cp:keywords>
  <dc:language>en-CA</dc:language>
  <cp:lastModifiedBy>esager</cp:lastModifiedBy>
  <cp:lastPrinted>2001-04-28T14:52:00Z</cp:lastPrinted>
  <dcterms:modified xsi:type="dcterms:W3CDTF">2001-04-30T14:15:00Z</dcterms:modified>
  <cp:revision>26</cp:revision>
  <dc:subject/>
  <dc:title>April 25, 2001</dc:title>
</cp:coreProperties>
</file>